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D12" w:rsidRDefault="00775D12" w:rsidP="0006783D">
      <w:pPr>
        <w:spacing w:line="480" w:lineRule="auto"/>
        <w:rPr>
          <w:rFonts w:eastAsia="Times New Roman" w:cs="Times New Roman"/>
          <w:szCs w:val="18"/>
        </w:rPr>
      </w:pPr>
      <w:r>
        <w:rPr>
          <w:rFonts w:eastAsia="Times New Roman" w:cs="Times New Roman"/>
          <w:szCs w:val="18"/>
        </w:rPr>
        <w:t>Jeffrey R. Wilson</w:t>
      </w:r>
    </w:p>
    <w:p w:rsidR="00775D12" w:rsidRDefault="00775D12" w:rsidP="0006783D">
      <w:pPr>
        <w:spacing w:line="480" w:lineRule="auto"/>
        <w:rPr>
          <w:rFonts w:eastAsia="Times New Roman" w:cs="Times New Roman"/>
          <w:szCs w:val="18"/>
        </w:rPr>
      </w:pPr>
      <w:r>
        <w:rPr>
          <w:rFonts w:eastAsia="Times New Roman" w:cs="Times New Roman"/>
          <w:szCs w:val="18"/>
        </w:rPr>
        <w:t>Harvard University</w:t>
      </w:r>
    </w:p>
    <w:p w:rsidR="00775D12" w:rsidRDefault="00775D12" w:rsidP="0006783D">
      <w:pPr>
        <w:spacing w:line="480" w:lineRule="auto"/>
        <w:jc w:val="center"/>
        <w:rPr>
          <w:rFonts w:eastAsia="Times New Roman" w:cs="Times New Roman"/>
          <w:szCs w:val="18"/>
        </w:rPr>
      </w:pPr>
      <w:r>
        <w:rPr>
          <w:rFonts w:eastAsia="Times New Roman" w:cs="Times New Roman"/>
          <w:szCs w:val="18"/>
        </w:rPr>
        <w:t>The Public Shakespeare Network</w:t>
      </w:r>
    </w:p>
    <w:p w:rsidR="0006783D" w:rsidRPr="00574931" w:rsidRDefault="00775D12" w:rsidP="0006783D">
      <w:pPr>
        <w:spacing w:line="480" w:lineRule="auto"/>
        <w:rPr>
          <w:rFonts w:eastAsia="Times New Roman" w:cs="Times New Roman"/>
          <w:szCs w:val="18"/>
        </w:rPr>
      </w:pPr>
      <w:r>
        <w:rPr>
          <w:rFonts w:eastAsia="Times New Roman" w:cs="Times New Roman"/>
          <w:szCs w:val="18"/>
        </w:rPr>
        <w:tab/>
      </w:r>
      <w:r w:rsidR="00574931" w:rsidRPr="00574931">
        <w:rPr>
          <w:rFonts w:eastAsia="Times New Roman" w:cs="Times New Roman"/>
          <w:szCs w:val="18"/>
        </w:rPr>
        <w:t>When coronavirus hit, people wanted information, history, perspective, thought, and conversation. Shakes-World responded with essays from Emma Smith, Daniel Pollack-</w:t>
      </w:r>
      <w:proofErr w:type="spellStart"/>
      <w:r w:rsidR="00574931" w:rsidRPr="00574931">
        <w:rPr>
          <w:rFonts w:eastAsia="Times New Roman" w:cs="Times New Roman"/>
          <w:szCs w:val="18"/>
        </w:rPr>
        <w:t>Pelzner</w:t>
      </w:r>
      <w:proofErr w:type="spellEnd"/>
      <w:r w:rsidR="00574931" w:rsidRPr="00574931">
        <w:rPr>
          <w:rFonts w:eastAsia="Times New Roman" w:cs="Times New Roman"/>
          <w:szCs w:val="18"/>
        </w:rPr>
        <w:t>, James Shapiro, and Stephen Greenblatt—some of our most celebrated Public Shakespeareans.</w:t>
      </w:r>
      <w:r w:rsidR="0006783D">
        <w:rPr>
          <w:rStyle w:val="EndnoteReference"/>
          <w:rFonts w:eastAsia="Times New Roman" w:cs="Times New Roman"/>
          <w:szCs w:val="18"/>
        </w:rPr>
        <w:endnoteReference w:id="1"/>
      </w:r>
      <w:r w:rsidR="0006783D" w:rsidRPr="00574931">
        <w:rPr>
          <w:rFonts w:eastAsia="Times New Roman" w:cs="Times New Roman"/>
          <w:szCs w:val="18"/>
        </w:rPr>
        <w:t xml:space="preserve"> There weren't essays in </w:t>
      </w:r>
      <w:r w:rsidR="0006783D" w:rsidRPr="00574931">
        <w:rPr>
          <w:rFonts w:eastAsia="Times New Roman" w:cs="Times New Roman"/>
          <w:i/>
          <w:iCs/>
          <w:szCs w:val="18"/>
        </w:rPr>
        <w:t>The New Yorker</w:t>
      </w:r>
      <w:r w:rsidR="0006783D" w:rsidRPr="00574931">
        <w:rPr>
          <w:rFonts w:eastAsia="Times New Roman" w:cs="Times New Roman"/>
          <w:szCs w:val="18"/>
        </w:rPr>
        <w:t> and </w:t>
      </w:r>
      <w:r w:rsidR="0006783D" w:rsidRPr="00574931">
        <w:rPr>
          <w:rFonts w:eastAsia="Times New Roman" w:cs="Times New Roman"/>
          <w:i/>
          <w:iCs/>
          <w:szCs w:val="18"/>
        </w:rPr>
        <w:t xml:space="preserve">The </w:t>
      </w:r>
      <w:r w:rsidR="0006783D">
        <w:rPr>
          <w:rFonts w:eastAsia="Times New Roman" w:cs="Times New Roman"/>
          <w:i/>
          <w:iCs/>
          <w:szCs w:val="18"/>
        </w:rPr>
        <w:t>Atlantic</w:t>
      </w:r>
      <w:r w:rsidR="0006783D" w:rsidRPr="00574931">
        <w:rPr>
          <w:rFonts w:eastAsia="Times New Roman" w:cs="Times New Roman"/>
          <w:szCs w:val="18"/>
        </w:rPr>
        <w:t xml:space="preserve"> from Rebecca </w:t>
      </w:r>
      <w:proofErr w:type="spellStart"/>
      <w:r w:rsidR="0006783D" w:rsidRPr="00574931">
        <w:rPr>
          <w:rFonts w:eastAsia="Times New Roman" w:cs="Times New Roman"/>
          <w:szCs w:val="18"/>
        </w:rPr>
        <w:t>Totaro</w:t>
      </w:r>
      <w:proofErr w:type="spellEnd"/>
      <w:r w:rsidR="0006783D" w:rsidRPr="00574931">
        <w:rPr>
          <w:rFonts w:eastAsia="Times New Roman" w:cs="Times New Roman"/>
          <w:szCs w:val="18"/>
        </w:rPr>
        <w:t>, author of </w:t>
      </w:r>
      <w:r w:rsidR="0006783D" w:rsidRPr="00574931">
        <w:rPr>
          <w:rFonts w:eastAsia="Times New Roman" w:cs="Times New Roman"/>
          <w:i/>
          <w:iCs/>
          <w:szCs w:val="18"/>
        </w:rPr>
        <w:t>Suffering in Paradise: The Bubonic Plague in English Literature from More to Milton</w:t>
      </w:r>
      <w:r w:rsidR="0006783D" w:rsidRPr="00574931">
        <w:rPr>
          <w:rFonts w:eastAsia="Times New Roman" w:cs="Times New Roman"/>
          <w:szCs w:val="18"/>
        </w:rPr>
        <w:t>; Ernest B. Gilman, author of </w:t>
      </w:r>
      <w:r w:rsidR="0006783D" w:rsidRPr="00574931">
        <w:rPr>
          <w:rFonts w:eastAsia="Times New Roman" w:cs="Times New Roman"/>
          <w:i/>
          <w:iCs/>
          <w:szCs w:val="18"/>
        </w:rPr>
        <w:t>Plague Writing in Early Modern England</w:t>
      </w:r>
      <w:r w:rsidR="0006783D" w:rsidRPr="00574931">
        <w:rPr>
          <w:rFonts w:eastAsia="Times New Roman" w:cs="Times New Roman"/>
          <w:szCs w:val="18"/>
        </w:rPr>
        <w:t>; Eric Langley, author of </w:t>
      </w:r>
      <w:r w:rsidR="0006783D" w:rsidRPr="00574931">
        <w:rPr>
          <w:rFonts w:eastAsia="Times New Roman" w:cs="Times New Roman"/>
          <w:i/>
          <w:iCs/>
          <w:szCs w:val="18"/>
        </w:rPr>
        <w:t>Shakespeare's Contagious Sympathies: Ill Communications</w:t>
      </w:r>
      <w:r w:rsidR="0006783D" w:rsidRPr="00574931">
        <w:rPr>
          <w:rFonts w:eastAsia="Times New Roman" w:cs="Times New Roman"/>
          <w:szCs w:val="18"/>
        </w:rPr>
        <w:t>; or Darryl Chalk and Mary Floyd-Wilson, editors of </w:t>
      </w:r>
      <w:r w:rsidR="0006783D" w:rsidRPr="00574931">
        <w:rPr>
          <w:rFonts w:eastAsia="Times New Roman" w:cs="Times New Roman"/>
          <w:i/>
          <w:iCs/>
          <w:szCs w:val="18"/>
        </w:rPr>
        <w:t>Contagion and the Shakespearean Stage</w:t>
      </w:r>
      <w:r w:rsidR="0006783D" w:rsidRPr="00574931">
        <w:rPr>
          <w:rFonts w:eastAsia="Times New Roman" w:cs="Times New Roman"/>
          <w:szCs w:val="18"/>
        </w:rPr>
        <w:t>.</w:t>
      </w:r>
      <w:r w:rsidR="0006783D">
        <w:rPr>
          <w:rStyle w:val="EndnoteReference"/>
          <w:rFonts w:eastAsia="Times New Roman" w:cs="Times New Roman"/>
          <w:szCs w:val="18"/>
        </w:rPr>
        <w:endnoteReference w:id="2"/>
      </w:r>
      <w:r w:rsidR="0006783D" w:rsidRPr="00574931">
        <w:rPr>
          <w:rFonts w:eastAsia="Times New Roman" w:cs="Times New Roman"/>
          <w:szCs w:val="18"/>
        </w:rPr>
        <w:t xml:space="preserve"> Although their specialized research </w:t>
      </w:r>
      <w:r w:rsidR="0006783D">
        <w:rPr>
          <w:rFonts w:eastAsia="Times New Roman" w:cs="Times New Roman"/>
          <w:szCs w:val="18"/>
        </w:rPr>
        <w:t>positions</w:t>
      </w:r>
      <w:r w:rsidR="0006783D" w:rsidRPr="00574931">
        <w:rPr>
          <w:rFonts w:eastAsia="Times New Roman" w:cs="Times New Roman"/>
          <w:szCs w:val="18"/>
        </w:rPr>
        <w:t xml:space="preserve"> them </w:t>
      </w:r>
      <w:r w:rsidR="0006783D">
        <w:rPr>
          <w:rFonts w:eastAsia="Times New Roman" w:cs="Times New Roman"/>
          <w:szCs w:val="18"/>
        </w:rPr>
        <w:t>as our</w:t>
      </w:r>
      <w:r w:rsidR="0006783D" w:rsidRPr="00574931">
        <w:rPr>
          <w:rFonts w:eastAsia="Times New Roman" w:cs="Times New Roman"/>
          <w:szCs w:val="18"/>
        </w:rPr>
        <w:t xml:space="preserve"> greatest resources for thinking about connections between Shakespeare and contagious disease, it was instead those who knew how to do Public Shakespeare</w:t>
      </w:r>
      <w:r w:rsidR="0006783D">
        <w:rPr>
          <w:rFonts w:eastAsia="Times New Roman" w:cs="Times New Roman"/>
          <w:szCs w:val="18"/>
        </w:rPr>
        <w:t>—and who had connections to that world—</w:t>
      </w:r>
      <w:r w:rsidR="0006783D" w:rsidRPr="00574931">
        <w:rPr>
          <w:rFonts w:eastAsia="Times New Roman" w:cs="Times New Roman"/>
          <w:szCs w:val="18"/>
        </w:rPr>
        <w:t xml:space="preserve">that became our leading voices. </w:t>
      </w:r>
      <w:r w:rsidR="0006783D">
        <w:rPr>
          <w:rFonts w:eastAsia="Times New Roman" w:cs="Times New Roman"/>
          <w:szCs w:val="18"/>
        </w:rPr>
        <w:t>Similarly, w</w:t>
      </w:r>
      <w:r w:rsidR="0006783D" w:rsidRPr="00D07B15">
        <w:rPr>
          <w:rFonts w:eastAsia="Times New Roman" w:cs="Times New Roman"/>
          <w:szCs w:val="18"/>
        </w:rPr>
        <w:t xml:space="preserve">hen the #BlackLivesMatter movement </w:t>
      </w:r>
      <w:r w:rsidR="0006783D">
        <w:rPr>
          <w:rFonts w:eastAsia="Times New Roman" w:cs="Times New Roman"/>
          <w:szCs w:val="18"/>
        </w:rPr>
        <w:t>reignited</w:t>
      </w:r>
      <w:r w:rsidR="0006783D" w:rsidRPr="00D07B15">
        <w:rPr>
          <w:rFonts w:eastAsia="Times New Roman" w:cs="Times New Roman"/>
          <w:szCs w:val="18"/>
        </w:rPr>
        <w:t xml:space="preserve"> after the murder of George Floyd, there was a major newspaper op-ed from Public Shakespearean Gary Taylor</w:t>
      </w:r>
      <w:r w:rsidR="0006783D">
        <w:rPr>
          <w:rFonts w:eastAsia="Times New Roman" w:cs="Times New Roman"/>
          <w:szCs w:val="18"/>
        </w:rPr>
        <w:t>.</w:t>
      </w:r>
      <w:r w:rsidR="0006783D">
        <w:rPr>
          <w:rStyle w:val="EndnoteReference"/>
          <w:rFonts w:eastAsia="Times New Roman" w:cs="Times New Roman"/>
          <w:szCs w:val="18"/>
        </w:rPr>
        <w:endnoteReference w:id="3"/>
      </w:r>
      <w:r w:rsidR="0006783D" w:rsidRPr="00D07B15">
        <w:rPr>
          <w:rFonts w:eastAsia="Times New Roman" w:cs="Times New Roman"/>
          <w:szCs w:val="18"/>
        </w:rPr>
        <w:t xml:space="preserve"> </w:t>
      </w:r>
      <w:r w:rsidR="0006783D">
        <w:rPr>
          <w:rFonts w:eastAsia="Times New Roman" w:cs="Times New Roman"/>
          <w:szCs w:val="18"/>
        </w:rPr>
        <w:t xml:space="preserve">There were none </w:t>
      </w:r>
      <w:r w:rsidR="0006783D" w:rsidRPr="00D07B15">
        <w:rPr>
          <w:rFonts w:eastAsia="Times New Roman" w:cs="Times New Roman"/>
          <w:szCs w:val="18"/>
        </w:rPr>
        <w:t xml:space="preserve">from the scholars whose specialized research focuses on Shakespeare and African American history and culture, such as Francesca T.  Royster, </w:t>
      </w:r>
      <w:r w:rsidR="0006783D" w:rsidRPr="00D07B15">
        <w:rPr>
          <w:rFonts w:eastAsia="Times New Roman" w:cs="Times New Roman"/>
          <w:szCs w:val="18"/>
        </w:rPr>
        <w:t xml:space="preserve">Ayanna Thompson, Kim F. Hall, </w:t>
      </w:r>
      <w:r w:rsidR="0006783D" w:rsidRPr="00D07B15">
        <w:rPr>
          <w:rFonts w:eastAsia="Times New Roman" w:cs="Times New Roman"/>
          <w:szCs w:val="18"/>
        </w:rPr>
        <w:t>Kyle Grady</w:t>
      </w:r>
      <w:r w:rsidR="0006783D">
        <w:rPr>
          <w:rFonts w:eastAsia="Times New Roman" w:cs="Times New Roman"/>
          <w:szCs w:val="18"/>
        </w:rPr>
        <w:t xml:space="preserve">, and </w:t>
      </w:r>
      <w:r w:rsidR="0006783D">
        <w:rPr>
          <w:rFonts w:eastAsia="Times New Roman" w:cs="Times New Roman"/>
          <w:szCs w:val="18"/>
        </w:rPr>
        <w:t>Jason Demeter</w:t>
      </w:r>
      <w:r w:rsidR="0006783D" w:rsidRPr="00D07B15">
        <w:rPr>
          <w:rFonts w:eastAsia="Times New Roman" w:cs="Times New Roman"/>
          <w:szCs w:val="18"/>
        </w:rPr>
        <w:t>.</w:t>
      </w:r>
      <w:r w:rsidR="0006783D">
        <w:rPr>
          <w:rStyle w:val="EndnoteReference"/>
          <w:rFonts w:eastAsia="Times New Roman" w:cs="Times New Roman"/>
          <w:szCs w:val="18"/>
        </w:rPr>
        <w:endnoteReference w:id="4"/>
      </w:r>
      <w:r w:rsidR="0006783D" w:rsidRPr="00D07B15">
        <w:rPr>
          <w:rFonts w:eastAsia="Times New Roman" w:cs="Times New Roman"/>
          <w:szCs w:val="18"/>
        </w:rPr>
        <w:t xml:space="preserve"> </w:t>
      </w:r>
      <w:r w:rsidR="0006783D" w:rsidRPr="00574931">
        <w:rPr>
          <w:rFonts w:eastAsia="Times New Roman" w:cs="Times New Roman"/>
          <w:szCs w:val="18"/>
        </w:rPr>
        <w:t>I think readers would be well-served by public writing from content specialists, and—frankly—I bet Smith, Pollack-</w:t>
      </w:r>
      <w:proofErr w:type="spellStart"/>
      <w:r w:rsidR="0006783D" w:rsidRPr="00574931">
        <w:rPr>
          <w:rFonts w:eastAsia="Times New Roman" w:cs="Times New Roman"/>
          <w:szCs w:val="18"/>
        </w:rPr>
        <w:t>Pelzner</w:t>
      </w:r>
      <w:proofErr w:type="spellEnd"/>
      <w:r w:rsidR="0006783D" w:rsidRPr="00574931">
        <w:rPr>
          <w:rFonts w:eastAsia="Times New Roman" w:cs="Times New Roman"/>
          <w:szCs w:val="18"/>
        </w:rPr>
        <w:t>, Shapiro, Greenblatt</w:t>
      </w:r>
      <w:r w:rsidR="0006783D">
        <w:rPr>
          <w:rFonts w:eastAsia="Times New Roman" w:cs="Times New Roman"/>
          <w:szCs w:val="18"/>
        </w:rPr>
        <w:t>, and Taylor</w:t>
      </w:r>
      <w:r w:rsidR="0006783D" w:rsidRPr="00574931">
        <w:rPr>
          <w:rFonts w:eastAsia="Times New Roman" w:cs="Times New Roman"/>
          <w:szCs w:val="18"/>
        </w:rPr>
        <w:t xml:space="preserve"> would agree. </w:t>
      </w:r>
    </w:p>
    <w:p w:rsidR="0006783D" w:rsidRPr="00574931" w:rsidRDefault="0006783D" w:rsidP="0006783D">
      <w:pPr>
        <w:spacing w:line="480" w:lineRule="auto"/>
        <w:rPr>
          <w:rFonts w:eastAsia="Times New Roman" w:cs="Times New Roman"/>
          <w:szCs w:val="18"/>
        </w:rPr>
      </w:pPr>
      <w:r>
        <w:rPr>
          <w:rFonts w:eastAsia="Times New Roman" w:cs="Times New Roman"/>
          <w:szCs w:val="18"/>
        </w:rPr>
        <w:tab/>
      </w:r>
      <w:r w:rsidRPr="00574931">
        <w:rPr>
          <w:rFonts w:eastAsia="Times New Roman" w:cs="Times New Roman"/>
          <w:szCs w:val="18"/>
        </w:rPr>
        <w:t>Let’s begin with three related problems:</w:t>
      </w:r>
    </w:p>
    <w:p w:rsidR="0006783D" w:rsidRPr="00775D12" w:rsidRDefault="0006783D" w:rsidP="0006783D">
      <w:pPr>
        <w:pStyle w:val="ListParagraph"/>
        <w:numPr>
          <w:ilvl w:val="0"/>
          <w:numId w:val="4"/>
        </w:numPr>
        <w:spacing w:line="480" w:lineRule="auto"/>
        <w:ind w:left="1440"/>
        <w:rPr>
          <w:rFonts w:eastAsia="Times New Roman" w:cs="Times New Roman"/>
          <w:szCs w:val="18"/>
        </w:rPr>
      </w:pPr>
      <w:r w:rsidRPr="00775D12">
        <w:rPr>
          <w:rFonts w:eastAsia="Times New Roman" w:cs="Times New Roman"/>
          <w:i/>
          <w:szCs w:val="18"/>
        </w:rPr>
        <w:lastRenderedPageBreak/>
        <w:t>The Social Problem</w:t>
      </w:r>
      <w:r w:rsidRPr="00775D12">
        <w:rPr>
          <w:rFonts w:eastAsia="Times New Roman" w:cs="Times New Roman"/>
          <w:szCs w:val="18"/>
        </w:rPr>
        <w:t>: Education in general and the humanities in particular have lost ground in the United States over the past 40 years, and one consequence has been decreased quality of life.</w:t>
      </w:r>
      <w:r>
        <w:rPr>
          <w:rStyle w:val="EndnoteReference"/>
          <w:rFonts w:eastAsia="Times New Roman" w:cs="Times New Roman"/>
          <w:szCs w:val="18"/>
        </w:rPr>
        <w:endnoteReference w:id="5"/>
      </w:r>
      <w:r w:rsidRPr="00775D12">
        <w:rPr>
          <w:rFonts w:eastAsia="Times New Roman" w:cs="Times New Roman"/>
          <w:szCs w:val="18"/>
        </w:rPr>
        <w:t xml:space="preserve"> </w:t>
      </w:r>
    </w:p>
    <w:p w:rsidR="0006783D" w:rsidRPr="00775D12" w:rsidRDefault="0006783D" w:rsidP="0006783D">
      <w:pPr>
        <w:pStyle w:val="ListParagraph"/>
        <w:numPr>
          <w:ilvl w:val="0"/>
          <w:numId w:val="4"/>
        </w:numPr>
        <w:spacing w:line="480" w:lineRule="auto"/>
        <w:ind w:left="1440"/>
        <w:rPr>
          <w:rFonts w:eastAsia="Times New Roman" w:cs="Times New Roman"/>
          <w:szCs w:val="18"/>
        </w:rPr>
      </w:pPr>
      <w:r w:rsidRPr="00775D12">
        <w:rPr>
          <w:rFonts w:eastAsia="Times New Roman" w:cs="Times New Roman"/>
          <w:i/>
          <w:szCs w:val="18"/>
        </w:rPr>
        <w:t>The Professional Problem</w:t>
      </w:r>
      <w:r w:rsidRPr="00775D12">
        <w:rPr>
          <w:rFonts w:eastAsia="Times New Roman" w:cs="Times New Roman"/>
          <w:szCs w:val="18"/>
        </w:rPr>
        <w:t>: Academia’s response to the social problem—the rise of the public humanities—draws upon and perpetuates traditions of elitism and exclusion.</w:t>
      </w:r>
      <w:r>
        <w:rPr>
          <w:rStyle w:val="EndnoteReference"/>
          <w:rFonts w:eastAsia="Times New Roman" w:cs="Times New Roman"/>
          <w:szCs w:val="18"/>
        </w:rPr>
        <w:endnoteReference w:id="6"/>
      </w:r>
      <w:r w:rsidRPr="00775D12">
        <w:rPr>
          <w:rFonts w:eastAsia="Times New Roman" w:cs="Times New Roman"/>
          <w:szCs w:val="18"/>
        </w:rPr>
        <w:t xml:space="preserve"> </w:t>
      </w:r>
    </w:p>
    <w:p w:rsidR="0006783D" w:rsidRPr="00FB0147" w:rsidRDefault="0006783D" w:rsidP="0006783D">
      <w:pPr>
        <w:pStyle w:val="ListParagraph"/>
        <w:numPr>
          <w:ilvl w:val="0"/>
          <w:numId w:val="4"/>
        </w:numPr>
        <w:spacing w:line="480" w:lineRule="auto"/>
        <w:ind w:left="1440"/>
        <w:rPr>
          <w:rFonts w:eastAsia="Times New Roman" w:cs="Times New Roman"/>
          <w:szCs w:val="18"/>
        </w:rPr>
      </w:pPr>
      <w:r w:rsidRPr="00775D12">
        <w:rPr>
          <w:rFonts w:eastAsia="Times New Roman" w:cs="Times New Roman"/>
          <w:i/>
          <w:szCs w:val="18"/>
        </w:rPr>
        <w:t>The Practical Problem</w:t>
      </w:r>
      <w:r w:rsidRPr="00775D12">
        <w:rPr>
          <w:rFonts w:eastAsia="Times New Roman" w:cs="Times New Roman"/>
          <w:szCs w:val="18"/>
        </w:rPr>
        <w:t>: The academics best positioned to fix the professional problem—often junior scholars, often marginalized academics—don’t receive much training in public humanities and don’t have many professional incentives to go public.</w:t>
      </w:r>
      <w:r>
        <w:rPr>
          <w:rStyle w:val="EndnoteReference"/>
          <w:rFonts w:eastAsia="Times New Roman" w:cs="Times New Roman"/>
          <w:szCs w:val="18"/>
        </w:rPr>
        <w:endnoteReference w:id="7"/>
      </w:r>
      <w:r w:rsidRPr="00775D12">
        <w:rPr>
          <w:rFonts w:eastAsia="Times New Roman" w:cs="Times New Roman"/>
          <w:szCs w:val="18"/>
        </w:rPr>
        <w:t xml:space="preserve"> </w:t>
      </w:r>
    </w:p>
    <w:p w:rsidR="0006783D" w:rsidRPr="00574931" w:rsidRDefault="0006783D" w:rsidP="0006783D">
      <w:pPr>
        <w:spacing w:line="480" w:lineRule="auto"/>
        <w:rPr>
          <w:rFonts w:eastAsia="Times New Roman" w:cs="Times New Roman"/>
          <w:szCs w:val="18"/>
        </w:rPr>
      </w:pPr>
      <w:r w:rsidRPr="00574931">
        <w:rPr>
          <w:rFonts w:eastAsia="Times New Roman" w:cs="Times New Roman"/>
          <w:szCs w:val="18"/>
        </w:rPr>
        <w:t>My position, in its simplest form, is that you solve the social problem by solving the professional problem, and you solve the professional problem by solving the practical problem. That’s why, in Shakespeare Studies, we need a Public Shakespeare Network that can (1) offset the informal, elitist Public Shakespeare networks currently in operation and (2) create pathways into public humanities for the scholars that society most needs to hear.</w:t>
      </w:r>
    </w:p>
    <w:p w:rsidR="0006783D" w:rsidRDefault="0006783D" w:rsidP="0006783D">
      <w:pPr>
        <w:spacing w:line="480" w:lineRule="auto"/>
        <w:rPr>
          <w:rFonts w:eastAsia="Times New Roman" w:cs="Times New Roman"/>
          <w:szCs w:val="18"/>
        </w:rPr>
      </w:pPr>
      <w:r>
        <w:rPr>
          <w:rFonts w:eastAsia="Times New Roman" w:cs="Times New Roman"/>
          <w:szCs w:val="18"/>
        </w:rPr>
        <w:tab/>
      </w:r>
      <w:r w:rsidRPr="00574931">
        <w:rPr>
          <w:rFonts w:eastAsia="Times New Roman" w:cs="Times New Roman"/>
          <w:szCs w:val="18"/>
        </w:rPr>
        <w:t xml:space="preserve">In part, this suggestion responds to, as Ruben Espinosa puts it, </w:t>
      </w:r>
      <w:r>
        <w:rPr>
          <w:rFonts w:eastAsia="Times New Roman" w:cs="Times New Roman"/>
          <w:szCs w:val="18"/>
        </w:rPr>
        <w:t>“</w:t>
      </w:r>
      <w:r w:rsidRPr="00574931">
        <w:rPr>
          <w:rFonts w:eastAsia="Times New Roman" w:cs="Times New Roman"/>
          <w:szCs w:val="18"/>
        </w:rPr>
        <w:t>the promise and the failings of Shakespeare studies.”</w:t>
      </w:r>
      <w:r>
        <w:rPr>
          <w:rStyle w:val="EndnoteReference"/>
          <w:rFonts w:eastAsia="Times New Roman" w:cs="Times New Roman"/>
          <w:szCs w:val="18"/>
        </w:rPr>
        <w:endnoteReference w:id="8"/>
      </w:r>
      <w:r w:rsidRPr="00574931">
        <w:rPr>
          <w:rFonts w:eastAsia="Times New Roman" w:cs="Times New Roman"/>
          <w:szCs w:val="18"/>
        </w:rPr>
        <w:t xml:space="preserve"> Many Shakespeareans sense a fissure between an enthusiasm for the transformative potential of the arts and humanities in society and a recognition that the arts and humanities need to clean up their own houses first. The Shakespeare industry has a demonstrated history of creating spaces for publicly accessible </w:t>
      </w:r>
      <w:r w:rsidR="0090239E">
        <w:rPr>
          <w:rFonts w:eastAsia="Times New Roman" w:cs="Times New Roman"/>
          <w:szCs w:val="18"/>
        </w:rPr>
        <w:t>scholarly conversations</w:t>
      </w:r>
      <w:r w:rsidRPr="00574931">
        <w:rPr>
          <w:rFonts w:eastAsia="Times New Roman" w:cs="Times New Roman"/>
          <w:szCs w:val="18"/>
        </w:rPr>
        <w:t xml:space="preserve">, but who are these spaces for? Whom do they serve, and whom do they ignore? Shakespeare can be a platform for social justice, as Hillary Eklund and Wendy Beth Hyman discuss in their recent collection, even as recent annual meetings of the Shakespeare Association of America have, to </w:t>
      </w:r>
      <w:r w:rsidRPr="00574931">
        <w:rPr>
          <w:rFonts w:eastAsia="Times New Roman" w:cs="Times New Roman"/>
          <w:szCs w:val="18"/>
        </w:rPr>
        <w:lastRenderedPageBreak/>
        <w:t>quote Peter Erickson and Kim F. Hall, “erased questions and epistemologies important to politically engaged scholarship, if not to the very humanity of black people.”</w:t>
      </w:r>
      <w:r>
        <w:rPr>
          <w:rStyle w:val="EndnoteReference"/>
          <w:rFonts w:eastAsia="Times New Roman" w:cs="Times New Roman"/>
          <w:szCs w:val="18"/>
        </w:rPr>
        <w:endnoteReference w:id="9"/>
      </w:r>
      <w:r w:rsidRPr="00574931">
        <w:rPr>
          <w:rFonts w:eastAsia="Times New Roman" w:cs="Times New Roman"/>
          <w:szCs w:val="18"/>
        </w:rPr>
        <w:t> With its hidden conventions and gated communities, Public Shakespeare mirrors “the systemic flaws of academic publishing, which disproportionately affect fields like critical race studies and BIPOC scholars,” as the RaceB4Race Executive Board wrote in its call to end</w:t>
      </w:r>
      <w:r w:rsidR="0090239E" w:rsidRPr="0090239E">
        <w:t xml:space="preserve"> </w:t>
      </w:r>
      <w:r w:rsidR="0090239E" w:rsidRPr="0090239E">
        <w:rPr>
          <w:rFonts w:eastAsia="Times New Roman" w:cs="Times New Roman"/>
          <w:szCs w:val="18"/>
        </w:rPr>
        <w:t>publishing gatekeeping</w:t>
      </w:r>
      <w:r w:rsidRPr="00574931">
        <w:rPr>
          <w:rFonts w:eastAsia="Times New Roman" w:cs="Times New Roman"/>
          <w:szCs w:val="18"/>
        </w:rPr>
        <w:t>.</w:t>
      </w:r>
      <w:r>
        <w:rPr>
          <w:rStyle w:val="EndnoteReference"/>
          <w:rFonts w:eastAsia="Times New Roman" w:cs="Times New Roman"/>
          <w:szCs w:val="18"/>
        </w:rPr>
        <w:endnoteReference w:id="10"/>
      </w:r>
      <w:r w:rsidRPr="00574931">
        <w:rPr>
          <w:rFonts w:eastAsia="Times New Roman" w:cs="Times New Roman"/>
          <w:szCs w:val="18"/>
        </w:rPr>
        <w:t xml:space="preserve"> Just as a politician like Bernie Sanders has pursued government policies that more equitably distribute the wealth of America to its working class, Shakespeare Studies desperately needs programs that can foster a Public Shakespeare of the 99 percent, to use Timothy Francisco and Sharon </w:t>
      </w:r>
      <w:proofErr w:type="spellStart"/>
      <w:r w:rsidRPr="00574931">
        <w:rPr>
          <w:rFonts w:eastAsia="Times New Roman" w:cs="Times New Roman"/>
          <w:szCs w:val="18"/>
        </w:rPr>
        <w:t>O’Dair’s</w:t>
      </w:r>
      <w:proofErr w:type="spellEnd"/>
      <w:r w:rsidRPr="00574931">
        <w:rPr>
          <w:rFonts w:eastAsia="Times New Roman" w:cs="Times New Roman"/>
          <w:szCs w:val="18"/>
        </w:rPr>
        <w:t xml:space="preserve"> formulation.</w:t>
      </w:r>
      <w:r>
        <w:rPr>
          <w:rStyle w:val="EndnoteReference"/>
          <w:rFonts w:eastAsia="Times New Roman" w:cs="Times New Roman"/>
          <w:szCs w:val="18"/>
        </w:rPr>
        <w:endnoteReference w:id="11"/>
      </w:r>
      <w:r w:rsidRPr="00574931">
        <w:rPr>
          <w:rFonts w:eastAsia="Times New Roman" w:cs="Times New Roman"/>
          <w:szCs w:val="18"/>
        </w:rPr>
        <w:t> </w:t>
      </w:r>
    </w:p>
    <w:p w:rsidR="0006783D" w:rsidRDefault="0006783D" w:rsidP="0006783D">
      <w:pPr>
        <w:spacing w:line="480" w:lineRule="auto"/>
        <w:rPr>
          <w:rFonts w:eastAsia="Times New Roman" w:cs="Times New Roman"/>
          <w:szCs w:val="18"/>
        </w:rPr>
      </w:pPr>
      <w:r>
        <w:rPr>
          <w:rFonts w:eastAsia="Times New Roman" w:cs="Times New Roman"/>
          <w:szCs w:val="18"/>
        </w:rPr>
        <w:tab/>
      </w:r>
      <w:r w:rsidRPr="00574931">
        <w:rPr>
          <w:rFonts w:eastAsia="Times New Roman" w:cs="Times New Roman"/>
          <w:szCs w:val="18"/>
        </w:rPr>
        <w:t xml:space="preserve">In Public Shakespeare, professional networks subvert any semblance of meritocracy, as in the </w:t>
      </w:r>
      <w:r>
        <w:rPr>
          <w:rFonts w:eastAsia="Times New Roman" w:cs="Times New Roman"/>
          <w:szCs w:val="18"/>
        </w:rPr>
        <w:t>larger</w:t>
      </w:r>
      <w:r w:rsidRPr="00574931">
        <w:rPr>
          <w:rFonts w:eastAsia="Times New Roman" w:cs="Times New Roman"/>
          <w:szCs w:val="18"/>
        </w:rPr>
        <w:t xml:space="preserve"> academi</w:t>
      </w:r>
      <w:r>
        <w:rPr>
          <w:rFonts w:eastAsia="Times New Roman" w:cs="Times New Roman"/>
          <w:szCs w:val="18"/>
        </w:rPr>
        <w:t>c world</w:t>
      </w:r>
      <w:r w:rsidRPr="00574931">
        <w:rPr>
          <w:rFonts w:eastAsia="Times New Roman" w:cs="Times New Roman"/>
          <w:szCs w:val="18"/>
        </w:rPr>
        <w:t xml:space="preserve"> Pierre </w:t>
      </w:r>
      <w:proofErr w:type="spellStart"/>
      <w:r w:rsidRPr="00574931">
        <w:rPr>
          <w:rFonts w:eastAsia="Times New Roman" w:cs="Times New Roman"/>
          <w:szCs w:val="18"/>
        </w:rPr>
        <w:t>Bordieu</w:t>
      </w:r>
      <w:proofErr w:type="spellEnd"/>
      <w:r w:rsidRPr="00574931">
        <w:rPr>
          <w:rFonts w:eastAsia="Times New Roman" w:cs="Times New Roman"/>
          <w:szCs w:val="18"/>
        </w:rPr>
        <w:t xml:space="preserve"> discusses in </w:t>
      </w:r>
      <w:r w:rsidRPr="00574931">
        <w:rPr>
          <w:rFonts w:eastAsia="Times New Roman" w:cs="Times New Roman"/>
          <w:i/>
          <w:szCs w:val="18"/>
        </w:rPr>
        <w:t xml:space="preserve">Homo </w:t>
      </w:r>
      <w:proofErr w:type="spellStart"/>
      <w:r w:rsidRPr="00574931">
        <w:rPr>
          <w:rFonts w:eastAsia="Times New Roman" w:cs="Times New Roman"/>
          <w:i/>
          <w:szCs w:val="18"/>
        </w:rPr>
        <w:t>Academicus</w:t>
      </w:r>
      <w:proofErr w:type="spellEnd"/>
      <w:r w:rsidRPr="00574931">
        <w:rPr>
          <w:rFonts w:eastAsia="Times New Roman" w:cs="Times New Roman"/>
          <w:szCs w:val="18"/>
        </w:rPr>
        <w:t>.</w:t>
      </w:r>
      <w:r>
        <w:rPr>
          <w:rStyle w:val="EndnoteReference"/>
          <w:rFonts w:eastAsia="Times New Roman" w:cs="Times New Roman"/>
          <w:szCs w:val="18"/>
        </w:rPr>
        <w:endnoteReference w:id="12"/>
      </w:r>
      <w:r w:rsidRPr="00574931">
        <w:rPr>
          <w:rFonts w:eastAsia="Times New Roman" w:cs="Times New Roman"/>
          <w:szCs w:val="18"/>
        </w:rPr>
        <w:t> It’s not what you know; it’s who you know. Networks can work against scholars who don’t go to top-tier schools. They perpetuate inequalities related to gender, race, sexuality, religion, class, disability, and age. </w:t>
      </w:r>
      <w:r w:rsidR="0090239E" w:rsidRPr="00574931">
        <w:rPr>
          <w:rFonts w:eastAsia="Times New Roman" w:cs="Times New Roman"/>
          <w:szCs w:val="18"/>
        </w:rPr>
        <w:t xml:space="preserve">One option would be to burn </w:t>
      </w:r>
      <w:r w:rsidR="0090239E">
        <w:rPr>
          <w:rFonts w:eastAsia="Times New Roman" w:cs="Times New Roman"/>
          <w:szCs w:val="18"/>
        </w:rPr>
        <w:t>the system</w:t>
      </w:r>
      <w:r w:rsidR="0090239E" w:rsidRPr="00574931">
        <w:rPr>
          <w:rFonts w:eastAsia="Times New Roman" w:cs="Times New Roman"/>
          <w:szCs w:val="18"/>
        </w:rPr>
        <w:t xml:space="preserve"> down. Another would be to use the primacy of networks in public humanities for good. </w:t>
      </w:r>
      <w:r w:rsidR="0090239E">
        <w:rPr>
          <w:rFonts w:eastAsia="Times New Roman" w:cs="Times New Roman"/>
          <w:szCs w:val="18"/>
        </w:rPr>
        <w:t>C</w:t>
      </w:r>
      <w:r w:rsidRPr="00574931">
        <w:rPr>
          <w:rFonts w:eastAsia="Times New Roman" w:cs="Times New Roman"/>
          <w:szCs w:val="18"/>
        </w:rPr>
        <w:t>an networks be made to work for those scholars to promote—not limit—scholarship that challenges the status quo? </w:t>
      </w:r>
    </w:p>
    <w:p w:rsidR="00EF3186" w:rsidRDefault="0006783D" w:rsidP="0006783D">
      <w:pPr>
        <w:spacing w:line="480" w:lineRule="auto"/>
        <w:rPr>
          <w:rFonts w:eastAsia="Times New Roman" w:cs="Times New Roman"/>
          <w:szCs w:val="18"/>
        </w:rPr>
      </w:pPr>
      <w:r>
        <w:rPr>
          <w:rFonts w:eastAsia="Times New Roman" w:cs="Times New Roman"/>
          <w:szCs w:val="18"/>
        </w:rPr>
        <w:tab/>
      </w:r>
      <w:r w:rsidRPr="00574931">
        <w:rPr>
          <w:rFonts w:eastAsia="Times New Roman" w:cs="Times New Roman"/>
          <w:szCs w:val="18"/>
        </w:rPr>
        <w:t>Social scientist Troy Heffernan maps out the benefits of academic networks.</w:t>
      </w:r>
      <w:r>
        <w:rPr>
          <w:rStyle w:val="EndnoteReference"/>
          <w:rFonts w:eastAsia="Times New Roman" w:cs="Times New Roman"/>
          <w:szCs w:val="18"/>
        </w:rPr>
        <w:endnoteReference w:id="13"/>
      </w:r>
      <w:r w:rsidRPr="00574931">
        <w:rPr>
          <w:rFonts w:eastAsia="Times New Roman" w:cs="Times New Roman"/>
          <w:szCs w:val="18"/>
        </w:rPr>
        <w:t> </w:t>
      </w:r>
      <w:r w:rsidR="00574931" w:rsidRPr="00574931">
        <w:rPr>
          <w:rFonts w:eastAsia="Times New Roman" w:cs="Times New Roman"/>
          <w:szCs w:val="18"/>
        </w:rPr>
        <w:t>Networks lead to opportunities, opportunities to publications, publications to employment, and employment to further networks. They lead to invitations to special issues, edited collections, fellowship</w:t>
      </w:r>
      <w:r w:rsidR="0090239E">
        <w:rPr>
          <w:rFonts w:eastAsia="Times New Roman" w:cs="Times New Roman"/>
          <w:szCs w:val="18"/>
        </w:rPr>
        <w:t>s</w:t>
      </w:r>
      <w:r w:rsidR="00574931" w:rsidRPr="00574931">
        <w:rPr>
          <w:rFonts w:eastAsia="Times New Roman" w:cs="Times New Roman"/>
          <w:szCs w:val="18"/>
        </w:rPr>
        <w:t xml:space="preserve">, and speaking invitations.  They provide a sense of community, plus strength and solidarity when the profession is exhausting. More senior members provide professional pathways to junior members; junior members keep senior members abreast of the latest developments in the field. Networks also provide a sense—to oneself and others—of being part </w:t>
      </w:r>
      <w:r w:rsidR="00574931" w:rsidRPr="00574931">
        <w:rPr>
          <w:rFonts w:eastAsia="Times New Roman" w:cs="Times New Roman"/>
          <w:szCs w:val="18"/>
        </w:rPr>
        <w:lastRenderedPageBreak/>
        <w:t>of a school of thought or cause. Academic networks play a key role in career success, and we can use that fact to build a better profession. </w:t>
      </w:r>
    </w:p>
    <w:p w:rsidR="0090239E" w:rsidRDefault="00EF3186" w:rsidP="0006783D">
      <w:pPr>
        <w:spacing w:line="480" w:lineRule="auto"/>
        <w:rPr>
          <w:rFonts w:eastAsia="Times New Roman" w:cs="Times New Roman"/>
          <w:szCs w:val="18"/>
        </w:rPr>
      </w:pPr>
      <w:r>
        <w:rPr>
          <w:rFonts w:eastAsia="Times New Roman" w:cs="Times New Roman"/>
          <w:szCs w:val="18"/>
        </w:rPr>
        <w:tab/>
      </w:r>
      <w:r w:rsidR="00574931" w:rsidRPr="00574931">
        <w:rPr>
          <w:rFonts w:eastAsia="Times New Roman" w:cs="Times New Roman"/>
          <w:szCs w:val="18"/>
        </w:rPr>
        <w:t xml:space="preserve">One of the defining features of public humanities is that opportunities come about through network </w:t>
      </w:r>
      <w:r w:rsidR="0090239E">
        <w:rPr>
          <w:rFonts w:eastAsia="Times New Roman" w:cs="Times New Roman"/>
          <w:szCs w:val="18"/>
        </w:rPr>
        <w:t>relationships</w:t>
      </w:r>
      <w:r w:rsidR="00574931" w:rsidRPr="00574931">
        <w:rPr>
          <w:rFonts w:eastAsia="Times New Roman" w:cs="Times New Roman"/>
          <w:szCs w:val="18"/>
        </w:rPr>
        <w:t xml:space="preserve">. </w:t>
      </w:r>
      <w:r>
        <w:rPr>
          <w:rFonts w:eastAsia="Times New Roman" w:cs="Times New Roman"/>
          <w:szCs w:val="18"/>
        </w:rPr>
        <w:t xml:space="preserve">The Public Shakespeare essays from </w:t>
      </w:r>
      <w:r w:rsidRPr="00574931">
        <w:rPr>
          <w:rFonts w:eastAsia="Times New Roman" w:cs="Times New Roman"/>
          <w:szCs w:val="18"/>
        </w:rPr>
        <w:t>Smith, Pollack-</w:t>
      </w:r>
      <w:proofErr w:type="spellStart"/>
      <w:r w:rsidRPr="00574931">
        <w:rPr>
          <w:rFonts w:eastAsia="Times New Roman" w:cs="Times New Roman"/>
          <w:szCs w:val="18"/>
        </w:rPr>
        <w:t>Pelzner</w:t>
      </w:r>
      <w:proofErr w:type="spellEnd"/>
      <w:r w:rsidRPr="00574931">
        <w:rPr>
          <w:rFonts w:eastAsia="Times New Roman" w:cs="Times New Roman"/>
          <w:szCs w:val="18"/>
        </w:rPr>
        <w:t>, Shapiro, Greenblatt</w:t>
      </w:r>
      <w:r>
        <w:rPr>
          <w:rFonts w:eastAsia="Times New Roman" w:cs="Times New Roman"/>
          <w:szCs w:val="18"/>
        </w:rPr>
        <w:t>, and Taylor</w:t>
      </w:r>
      <w:r>
        <w:rPr>
          <w:rFonts w:eastAsia="Times New Roman" w:cs="Times New Roman"/>
          <w:szCs w:val="18"/>
        </w:rPr>
        <w:t xml:space="preserve"> </w:t>
      </w:r>
      <w:r w:rsidR="0090239E">
        <w:rPr>
          <w:rFonts w:eastAsia="Times New Roman" w:cs="Times New Roman"/>
          <w:szCs w:val="18"/>
        </w:rPr>
        <w:t xml:space="preserve">mentioned earlier </w:t>
      </w:r>
      <w:r>
        <w:rPr>
          <w:rFonts w:eastAsia="Times New Roman" w:cs="Times New Roman"/>
          <w:szCs w:val="18"/>
        </w:rPr>
        <w:t xml:space="preserve">didn’t come about through an open marketplace of ideas; they came about through previous relationships. </w:t>
      </w:r>
      <w:r w:rsidR="00574931" w:rsidRPr="00574931">
        <w:rPr>
          <w:rFonts w:eastAsia="Times New Roman" w:cs="Times New Roman"/>
          <w:szCs w:val="18"/>
        </w:rPr>
        <w:t>There are deleterious consequences: good ideas that ought to be leading the way are instead buried in open submission slush piles.</w:t>
      </w:r>
    </w:p>
    <w:p w:rsidR="00574931" w:rsidRDefault="0090239E" w:rsidP="0006783D">
      <w:pPr>
        <w:spacing w:line="480" w:lineRule="auto"/>
        <w:rPr>
          <w:rFonts w:eastAsia="Times New Roman" w:cs="Times New Roman"/>
          <w:szCs w:val="18"/>
        </w:rPr>
      </w:pPr>
      <w:r>
        <w:rPr>
          <w:rFonts w:eastAsia="Times New Roman" w:cs="Times New Roman"/>
          <w:szCs w:val="18"/>
        </w:rPr>
        <w:tab/>
      </w:r>
      <w:r w:rsidR="00574931" w:rsidRPr="00574931">
        <w:rPr>
          <w:rFonts w:eastAsia="Times New Roman" w:cs="Times New Roman"/>
          <w:szCs w:val="18"/>
        </w:rPr>
        <w:t xml:space="preserve">The networks that promote inequality are precisely those that emerge informally, without deliberate thought and design put into them. In contrast, the Public Shakespeare Network has equity of opportunity as its founding principle. The Public Shakespeare Network attempts to formalize—in the name of equity—the benefits that come from academic networks. It’s not about saving the world with Shakespeare. Honestly, it’s more about saving Shakespeare studies from itself. </w:t>
      </w:r>
    </w:p>
    <w:p w:rsidR="0006783D" w:rsidRPr="00861042" w:rsidRDefault="0006783D" w:rsidP="0006783D">
      <w:pPr>
        <w:spacing w:line="480" w:lineRule="auto"/>
        <w:rPr>
          <w:color w:val="000000" w:themeColor="text1"/>
        </w:rPr>
      </w:pPr>
      <w:r>
        <w:rPr>
          <w:color w:val="000000" w:themeColor="text1"/>
        </w:rPr>
        <w:tab/>
        <w:t>T</w:t>
      </w:r>
      <w:r w:rsidRPr="00861042">
        <w:rPr>
          <w:color w:val="000000" w:themeColor="text1"/>
        </w:rPr>
        <w:t>he Public Shakespeare Network</w:t>
      </w:r>
      <w:r>
        <w:rPr>
          <w:color w:val="000000" w:themeColor="text1"/>
        </w:rPr>
        <w:t xml:space="preserve"> is</w:t>
      </w:r>
      <w:r w:rsidRPr="00861042">
        <w:rPr>
          <w:color w:val="000000" w:themeColor="text1"/>
        </w:rPr>
        <w:t xml:space="preserve"> a decentralized, grassroots movement supporting communities and scholars looking to think about, with, </w:t>
      </w:r>
      <w:proofErr w:type="spellStart"/>
      <w:r w:rsidRPr="00861042">
        <w:rPr>
          <w:color w:val="000000" w:themeColor="text1"/>
        </w:rPr>
        <w:t>through</w:t>
      </w:r>
      <w:proofErr w:type="spellEnd"/>
      <w:r w:rsidRPr="00861042">
        <w:rPr>
          <w:color w:val="000000" w:themeColor="text1"/>
        </w:rPr>
        <w:t>, and against Shakespeare and other early-modern literature beyond the confines of academia. Through the #</w:t>
      </w:r>
      <w:proofErr w:type="spellStart"/>
      <w:r w:rsidRPr="00861042">
        <w:rPr>
          <w:color w:val="000000" w:themeColor="text1"/>
        </w:rPr>
        <w:t>PublicShax</w:t>
      </w:r>
      <w:proofErr w:type="spellEnd"/>
      <w:r w:rsidRPr="00861042">
        <w:rPr>
          <w:color w:val="000000" w:themeColor="text1"/>
        </w:rPr>
        <w:t xml:space="preserve"> hashtag, it creates a space for people from all walks of life to connect with Shakespeare and Shakespeare scholars. For public venues, it offers a go-to resource for finding expertise and ideas. For scholars interested in public-facing writing and programing, but not quite sure how to do it, the Public Shakespeare Network offers three main resources: </w:t>
      </w:r>
    </w:p>
    <w:p w:rsidR="0006783D" w:rsidRPr="00861042" w:rsidRDefault="0006783D" w:rsidP="0006783D">
      <w:pPr>
        <w:pStyle w:val="ListParagraph"/>
        <w:numPr>
          <w:ilvl w:val="0"/>
          <w:numId w:val="5"/>
        </w:numPr>
        <w:spacing w:line="480" w:lineRule="auto"/>
        <w:rPr>
          <w:color w:val="000000" w:themeColor="text1"/>
        </w:rPr>
      </w:pPr>
      <w:r w:rsidRPr="00861042">
        <w:rPr>
          <w:i/>
          <w:color w:val="000000" w:themeColor="text1"/>
        </w:rPr>
        <w:lastRenderedPageBreak/>
        <w:t>Guidance</w:t>
      </w:r>
      <w:r w:rsidRPr="00861042">
        <w:rPr>
          <w:color w:val="000000" w:themeColor="text1"/>
        </w:rPr>
        <w:t xml:space="preserve"> for doing public-facing writing and programing: </w:t>
      </w:r>
      <w:r>
        <w:rPr>
          <w:color w:val="000000" w:themeColor="text1"/>
        </w:rPr>
        <w:t>F</w:t>
      </w:r>
      <w:r w:rsidRPr="00861042">
        <w:rPr>
          <w:color w:val="000000" w:themeColor="text1"/>
        </w:rPr>
        <w:t xml:space="preserve">ree and openly accessible </w:t>
      </w:r>
      <w:r>
        <w:rPr>
          <w:color w:val="000000" w:themeColor="text1"/>
        </w:rPr>
        <w:t>h</w:t>
      </w:r>
      <w:r w:rsidRPr="00861042">
        <w:rPr>
          <w:color w:val="000000" w:themeColor="text1"/>
        </w:rPr>
        <w:t xml:space="preserve">ow-to tips and tricks from established practitioners walking you through the process of creating different forms of Public Shakespeare. </w:t>
      </w:r>
    </w:p>
    <w:p w:rsidR="0006783D" w:rsidRPr="00861042" w:rsidRDefault="0006783D" w:rsidP="0006783D">
      <w:pPr>
        <w:pStyle w:val="ListParagraph"/>
        <w:numPr>
          <w:ilvl w:val="0"/>
          <w:numId w:val="5"/>
        </w:numPr>
        <w:spacing w:line="480" w:lineRule="auto"/>
        <w:rPr>
          <w:color w:val="000000" w:themeColor="text1"/>
        </w:rPr>
      </w:pPr>
      <w:r w:rsidRPr="00861042">
        <w:rPr>
          <w:i/>
          <w:color w:val="000000" w:themeColor="text1"/>
        </w:rPr>
        <w:t>Workshops</w:t>
      </w:r>
      <w:r w:rsidRPr="00861042">
        <w:rPr>
          <w:color w:val="000000" w:themeColor="text1"/>
        </w:rPr>
        <w:t xml:space="preserve"> to help scholars develop and revise public-facing writing and programing: Small group conversations that help aspiring Public Shakespeareans think through ideas at different stages of development, from the concept to the execution.</w:t>
      </w:r>
    </w:p>
    <w:p w:rsidR="0006783D" w:rsidRPr="00861042" w:rsidRDefault="0006783D" w:rsidP="0006783D">
      <w:pPr>
        <w:pStyle w:val="ListParagraph"/>
        <w:numPr>
          <w:ilvl w:val="0"/>
          <w:numId w:val="5"/>
        </w:numPr>
        <w:spacing w:line="480" w:lineRule="auto"/>
        <w:rPr>
          <w:color w:val="000000" w:themeColor="text1"/>
        </w:rPr>
      </w:pPr>
      <w:r w:rsidRPr="00861042">
        <w:rPr>
          <w:i/>
          <w:color w:val="000000" w:themeColor="text1"/>
        </w:rPr>
        <w:t>Connections</w:t>
      </w:r>
      <w:r w:rsidRPr="00861042">
        <w:rPr>
          <w:color w:val="000000" w:themeColor="text1"/>
        </w:rPr>
        <w:t xml:space="preserve"> to people and resources that can help bring Public Shakespeare projects to light: The Network is committed to offering introductions and opening doors to help promising projects find the right home.</w:t>
      </w:r>
    </w:p>
    <w:p w:rsidR="00574931" w:rsidRPr="00574931" w:rsidRDefault="0090239E" w:rsidP="0006783D">
      <w:pPr>
        <w:spacing w:line="480" w:lineRule="auto"/>
        <w:rPr>
          <w:rFonts w:eastAsia="Times New Roman" w:cs="Times New Roman"/>
          <w:szCs w:val="18"/>
        </w:rPr>
      </w:pPr>
      <w:r>
        <w:rPr>
          <w:rFonts w:eastAsia="Times New Roman" w:cs="Times New Roman"/>
          <w:szCs w:val="18"/>
        </w:rPr>
        <w:t>T</w:t>
      </w:r>
      <w:r w:rsidR="0006783D">
        <w:rPr>
          <w:rFonts w:eastAsia="Times New Roman" w:cs="Times New Roman"/>
          <w:szCs w:val="18"/>
        </w:rPr>
        <w:t xml:space="preserve">he next section </w:t>
      </w:r>
      <w:r>
        <w:rPr>
          <w:rFonts w:eastAsia="Times New Roman" w:cs="Times New Roman"/>
          <w:szCs w:val="18"/>
        </w:rPr>
        <w:t xml:space="preserve">of this paper </w:t>
      </w:r>
      <w:r w:rsidR="00574931" w:rsidRPr="00574931">
        <w:rPr>
          <w:rFonts w:eastAsia="Times New Roman" w:cs="Times New Roman"/>
          <w:szCs w:val="18"/>
        </w:rPr>
        <w:t xml:space="preserve">is a draft of a </w:t>
      </w:r>
      <w:r>
        <w:rPr>
          <w:rFonts w:eastAsia="Times New Roman" w:cs="Times New Roman"/>
          <w:szCs w:val="18"/>
        </w:rPr>
        <w:t xml:space="preserve">possible </w:t>
      </w:r>
      <w:r w:rsidR="00574931" w:rsidRPr="00574931">
        <w:rPr>
          <w:rFonts w:eastAsia="Times New Roman" w:cs="Times New Roman"/>
          <w:szCs w:val="18"/>
        </w:rPr>
        <w:t xml:space="preserve">public essay titled “Shakespeare as Contact Zone.” I welcome notes for revision, and our conversation about </w:t>
      </w:r>
      <w:r w:rsidR="0006783D">
        <w:rPr>
          <w:rFonts w:eastAsia="Times New Roman" w:cs="Times New Roman"/>
          <w:szCs w:val="18"/>
        </w:rPr>
        <w:t>this essay (which—somewhat purposefully—isn’t perfect)</w:t>
      </w:r>
      <w:r w:rsidR="00574931" w:rsidRPr="00574931">
        <w:rPr>
          <w:rFonts w:eastAsia="Times New Roman" w:cs="Times New Roman"/>
          <w:szCs w:val="18"/>
        </w:rPr>
        <w:t xml:space="preserve"> could serve as a</w:t>
      </w:r>
      <w:r>
        <w:rPr>
          <w:rFonts w:eastAsia="Times New Roman" w:cs="Times New Roman"/>
          <w:szCs w:val="18"/>
        </w:rPr>
        <w:t>n example</w:t>
      </w:r>
      <w:r w:rsidR="00574931" w:rsidRPr="00574931">
        <w:rPr>
          <w:rFonts w:eastAsia="Times New Roman" w:cs="Times New Roman"/>
          <w:szCs w:val="18"/>
        </w:rPr>
        <w:t xml:space="preserve"> of how the Public Shakespeare Network could work. Then</w:t>
      </w:r>
      <w:r w:rsidR="0006783D">
        <w:rPr>
          <w:rFonts w:eastAsia="Times New Roman" w:cs="Times New Roman"/>
          <w:szCs w:val="18"/>
        </w:rPr>
        <w:t>, in the conclusion to this paper, I lay out</w:t>
      </w:r>
      <w:r w:rsidR="00574931" w:rsidRPr="00574931">
        <w:rPr>
          <w:rFonts w:eastAsia="Times New Roman" w:cs="Times New Roman"/>
          <w:szCs w:val="18"/>
        </w:rPr>
        <w:t xml:space="preserve"> some of the nuts-and-bolts of how the Public Shakespeare Network might work. </w:t>
      </w:r>
    </w:p>
    <w:p w:rsidR="00022098" w:rsidRDefault="00022098" w:rsidP="00574931"/>
    <w:p w:rsidR="00320763" w:rsidRDefault="00320763" w:rsidP="00320763">
      <w:pPr>
        <w:jc w:val="center"/>
      </w:pPr>
      <w:r>
        <w:t xml:space="preserve">Shakespeare as </w:t>
      </w:r>
      <w:r w:rsidR="008D084E">
        <w:t>Contact Zone</w:t>
      </w:r>
    </w:p>
    <w:p w:rsidR="008D084E" w:rsidRDefault="008D084E" w:rsidP="00320763">
      <w:pPr>
        <w:jc w:val="center"/>
      </w:pPr>
    </w:p>
    <w:p w:rsidR="008D084E" w:rsidRDefault="008D084E" w:rsidP="008D084E">
      <w:r>
        <w:t xml:space="preserve">Shakespeare is a contact zone. </w:t>
      </w:r>
    </w:p>
    <w:p w:rsidR="008D084E" w:rsidRDefault="008D084E" w:rsidP="008D084E"/>
    <w:p w:rsidR="008D084E" w:rsidRDefault="008D084E" w:rsidP="008D084E">
      <w:r>
        <w:t xml:space="preserve">Mary Louise Pratt coined this term in 1991, referring to "social spaces where cultures meet, clash and grapple with each other, often in contexts of highly asymmetrical relations of power, such as colonialism, slavery, or their aftermaths.” Unlike the concept of the “frontier”—which comes from the colonizing Europeans’ point-of-view, and movement is unidirectional from those who have power toward those who don’t—a “contact </w:t>
      </w:r>
      <w:proofErr w:type="gramStart"/>
      <w:r>
        <w:t>zone“ is</w:t>
      </w:r>
      <w:proofErr w:type="gramEnd"/>
      <w:r>
        <w:t xml:space="preserve"> a geographic space characterized by the co-presence of people previously separated, their multiple perspectives, and their social exchanges. </w:t>
      </w:r>
    </w:p>
    <w:p w:rsidR="008D084E" w:rsidRDefault="008D084E" w:rsidP="008D084E"/>
    <w:p w:rsidR="008D084E" w:rsidRPr="0006783D" w:rsidRDefault="008D084E" w:rsidP="008D084E">
      <w:pPr>
        <w:rPr>
          <w:i/>
        </w:rPr>
      </w:pPr>
      <w:r w:rsidRPr="0006783D">
        <w:rPr>
          <w:i/>
        </w:rPr>
        <w:t>Shakespearean Contact Zones, Real and Imagined</w:t>
      </w:r>
    </w:p>
    <w:p w:rsidR="008D084E" w:rsidRDefault="008D084E" w:rsidP="008D084E"/>
    <w:p w:rsidR="008D084E" w:rsidRDefault="008D084E" w:rsidP="008D084E">
      <w:r w:rsidRPr="0090239E">
        <w:rPr>
          <w:i/>
        </w:rPr>
        <w:t>The Merchant of Venice</w:t>
      </w:r>
      <w:r>
        <w:t xml:space="preserve">, </w:t>
      </w:r>
      <w:r w:rsidRPr="0090239E">
        <w:rPr>
          <w:i/>
        </w:rPr>
        <w:t>Othello</w:t>
      </w:r>
      <w:r>
        <w:t xml:space="preserve">, and </w:t>
      </w:r>
      <w:r w:rsidRPr="0090239E">
        <w:rPr>
          <w:i/>
        </w:rPr>
        <w:t>The Tempest</w:t>
      </w:r>
      <w:r>
        <w:t xml:space="preserve"> are only the most obvious plays that stage asymmetrical power relationships in cross-cultural encounters that separate along lines of race, nationality, and religion. Dig a little deeper, and Shakespeare's plays brim with sub-cultural </w:t>
      </w:r>
      <w:r>
        <w:lastRenderedPageBreak/>
        <w:t xml:space="preserve">contact zones dramatizing asymmetrical power dynamics that hinge on social identity. In </w:t>
      </w:r>
      <w:r w:rsidRPr="0090239E">
        <w:rPr>
          <w:i/>
        </w:rPr>
        <w:t>Richard III</w:t>
      </w:r>
      <w:r>
        <w:t xml:space="preserve">, we see people with disabilities in a culture of </w:t>
      </w:r>
      <w:proofErr w:type="spellStart"/>
      <w:r>
        <w:t>ablism</w:t>
      </w:r>
      <w:proofErr w:type="spellEnd"/>
      <w:r>
        <w:t xml:space="preserve">; in </w:t>
      </w:r>
      <w:r w:rsidRPr="0090239E">
        <w:rPr>
          <w:i/>
        </w:rPr>
        <w:t>The Taming of the Shrew</w:t>
      </w:r>
      <w:r>
        <w:t xml:space="preserve">, women in a culture of misogyny; in </w:t>
      </w:r>
      <w:r w:rsidRPr="0090239E">
        <w:rPr>
          <w:i/>
        </w:rPr>
        <w:t>Twelfth Night</w:t>
      </w:r>
      <w:r>
        <w:t xml:space="preserve">, queer sexuality in a culture of heteronormativity; in </w:t>
      </w:r>
      <w:r w:rsidRPr="0090239E">
        <w:rPr>
          <w:i/>
        </w:rPr>
        <w:t>King Lear</w:t>
      </w:r>
      <w:r>
        <w:t xml:space="preserve">, the elderly in a culture of ageism; in </w:t>
      </w:r>
      <w:r w:rsidRPr="0090239E">
        <w:rPr>
          <w:i/>
        </w:rPr>
        <w:t>Coriolanus</w:t>
      </w:r>
      <w:r>
        <w:t xml:space="preserve">, the working class in a culture of elitism; in </w:t>
      </w:r>
      <w:r w:rsidRPr="0090239E">
        <w:rPr>
          <w:i/>
        </w:rPr>
        <w:t>Antony and Cleopatra</w:t>
      </w:r>
      <w:r>
        <w:t xml:space="preserve">, intersectionality in a culture of overlapping systems of oppression. </w:t>
      </w:r>
    </w:p>
    <w:p w:rsidR="008D084E" w:rsidRDefault="008D084E" w:rsidP="008D084E"/>
    <w:p w:rsidR="008D084E" w:rsidRDefault="008D084E" w:rsidP="008D084E">
      <w:r>
        <w:t>Beyond the texts, Shakespeare often exists in one contact zone or another—a provincial glovemaker’s son in cosmopolitan London; an English writer in an age of colonialism; a white male holdover from the early-modern era in the multi-cultural twenty-first century.</w:t>
      </w:r>
    </w:p>
    <w:p w:rsidR="008D084E" w:rsidRDefault="008D084E" w:rsidP="008D084E"/>
    <w:p w:rsidR="008D084E" w:rsidRDefault="008D084E" w:rsidP="008D084E">
      <w:r>
        <w:t xml:space="preserve">Yet actual contact is often absent in Shakespearean theater: women played by men, brown characters by white actors, disabled characters by able-bodied actors. What may have been the first global Shakespearean performance, </w:t>
      </w:r>
      <w:r w:rsidRPr="0090239E">
        <w:rPr>
          <w:i/>
        </w:rPr>
        <w:t>Hamlet</w:t>
      </w:r>
      <w:r>
        <w:t xml:space="preserve"> on </w:t>
      </w:r>
      <w:r w:rsidRPr="0090239E">
        <w:rPr>
          <w:i/>
        </w:rPr>
        <w:t>The Red Dragon</w:t>
      </w:r>
      <w:r>
        <w:t xml:space="preserve"> off the coast of Sierra Leone in 1607, was a contact-less zone. The first Shakespearean adaptation, John Fletcher’s </w:t>
      </w:r>
      <w:proofErr w:type="gramStart"/>
      <w:r w:rsidRPr="004706F0">
        <w:rPr>
          <w:i/>
        </w:rPr>
        <w:t>The</w:t>
      </w:r>
      <w:proofErr w:type="gramEnd"/>
      <w:r w:rsidRPr="004706F0">
        <w:rPr>
          <w:i/>
        </w:rPr>
        <w:t xml:space="preserve"> Tamer Tamed</w:t>
      </w:r>
      <w:r>
        <w:t xml:space="preserve">, flips the power dynamic between empowered men and subjugated women. Or does it—if the play was written by a man and performed by an all-male cast? The example of Shakespeare shows that there are actual contact zones and imagined contact zones. And what seem to be moments of Shakespearean contact often turn out to be imagined projection, or orientalism. </w:t>
      </w:r>
    </w:p>
    <w:p w:rsidR="008D084E" w:rsidRDefault="008D084E" w:rsidP="008D084E"/>
    <w:p w:rsidR="008D084E" w:rsidRPr="0006783D" w:rsidRDefault="008D084E" w:rsidP="008D084E">
      <w:pPr>
        <w:rPr>
          <w:i/>
        </w:rPr>
      </w:pPr>
      <w:r w:rsidRPr="0006783D">
        <w:rPr>
          <w:i/>
        </w:rPr>
        <w:t>Museums as Contact Zones</w:t>
      </w:r>
    </w:p>
    <w:p w:rsidR="008D084E" w:rsidRDefault="008D084E" w:rsidP="008D084E"/>
    <w:p w:rsidR="008D084E" w:rsidRDefault="008D084E" w:rsidP="008D084E">
      <w:r>
        <w:t xml:space="preserve">In 1997, James Clifford adapted Pratt’s notion of “contact zones” to describe recent museum practices in North America and Europe: "When museums are seen as contact zones, their organizing structure as a </w:t>
      </w:r>
      <w:r w:rsidRPr="004706F0">
        <w:rPr>
          <w:i/>
        </w:rPr>
        <w:t>collection</w:t>
      </w:r>
      <w:r>
        <w:t xml:space="preserve"> becomes an ongoing historical, political, moral </w:t>
      </w:r>
      <w:r w:rsidRPr="004706F0">
        <w:rPr>
          <w:i/>
        </w:rPr>
        <w:t>relationship</w:t>
      </w:r>
      <w:r>
        <w:t>."</w:t>
      </w:r>
    </w:p>
    <w:p w:rsidR="008D084E" w:rsidRDefault="008D084E" w:rsidP="008D084E"/>
    <w:p w:rsidR="008D084E" w:rsidRDefault="008D084E" w:rsidP="008D084E">
      <w:r>
        <w:t>Clifford’s “contact zones" refer not to geographical spaces but to the institutions that memorialize those encounters, namely museums. The contact zone approach contrast</w:t>
      </w:r>
      <w:r w:rsidR="004706F0">
        <w:t>s</w:t>
      </w:r>
      <w:r>
        <w:t xml:space="preserve"> with the older image of what are called "universal survey museums”—the major places like the Louvre with collections that span space and time. Shakespeare is also said to be “universal.” Who is not included and welcomed into the Shakespearean and Metropolitan images of universality? Who is excluded because not present amidst claims of universality? </w:t>
      </w:r>
    </w:p>
    <w:p w:rsidR="008D084E" w:rsidRDefault="008D084E" w:rsidP="008D084E"/>
    <w:p w:rsidR="008D084E" w:rsidRDefault="008D084E" w:rsidP="008D084E">
      <w:r>
        <w:t xml:space="preserve">Universal survey museums—holdovers of “frontier” logic—center the museum object on display. Those museums are for collection of the past, their rare holdings receptacles of value. A “contact zones” perspective shifts museum objects to the periphery, centering instead the experience of the living, breathing human beings at the museum—artists, employees, guests, and especially the descendants of the cultures whose objects are on display in the museum. In this view, museums are about building relationships, not collecting items—the present, not the past. </w:t>
      </w:r>
    </w:p>
    <w:p w:rsidR="008D084E" w:rsidRDefault="008D084E" w:rsidP="008D084E"/>
    <w:p w:rsidR="008D084E" w:rsidRDefault="008D084E" w:rsidP="008D084E">
      <w:r>
        <w:t xml:space="preserve">Clifford recounts how objects in an exhibit of Tlingit artifacts in the Northwest Coast Indian collection at the Portland Museum of Art were used as “aides-memories, occasions for the telling of stories and the singing of songs.” Attention swung from the museum objects to the live event. The objects are merely </w:t>
      </w:r>
      <w:proofErr w:type="gramStart"/>
      <w:r>
        <w:t>prompts</w:t>
      </w:r>
      <w:proofErr w:type="gramEnd"/>
      <w:r>
        <w:t xml:space="preserve"> for thought and conversation. Value inheres not in the object, but in the social, political, and ethical ideas formed and shared by museum visitors.</w:t>
      </w:r>
    </w:p>
    <w:p w:rsidR="008D084E" w:rsidRDefault="008D084E" w:rsidP="008D084E"/>
    <w:p w:rsidR="008D084E" w:rsidRDefault="008D084E" w:rsidP="008D084E">
      <w:r>
        <w:t xml:space="preserve">What if Shakespeare’s plays are seen, similarly, not as receptacles of value from which we might extract knowledge, but as prompts for telling our own stories? </w:t>
      </w:r>
    </w:p>
    <w:p w:rsidR="008D084E" w:rsidRDefault="008D084E" w:rsidP="008D084E"/>
    <w:p w:rsidR="008D084E" w:rsidRPr="0006783D" w:rsidRDefault="008D084E" w:rsidP="008D084E">
      <w:pPr>
        <w:rPr>
          <w:i/>
        </w:rPr>
      </w:pPr>
      <w:r w:rsidRPr="0006783D">
        <w:rPr>
          <w:i/>
        </w:rPr>
        <w:t>Shakespeare as Museum</w:t>
      </w:r>
    </w:p>
    <w:p w:rsidR="008D084E" w:rsidRDefault="008D084E" w:rsidP="008D084E"/>
    <w:p w:rsidR="008D084E" w:rsidRDefault="008D084E" w:rsidP="008D084E">
      <w:r>
        <w:t xml:space="preserve">A contact zone approach moves the text to the margins of the Shakespearean experience, in its place centering the </w:t>
      </w:r>
      <w:r w:rsidR="004706F0">
        <w:t>activities</w:t>
      </w:r>
      <w:r>
        <w:t xml:space="preserve"> living, breathing </w:t>
      </w:r>
      <w:r w:rsidR="004706F0">
        <w:t>human being</w:t>
      </w:r>
      <w:r>
        <w:t xml:space="preserve"> </w:t>
      </w:r>
      <w:r w:rsidR="004706F0">
        <w:t>do</w:t>
      </w:r>
      <w:r>
        <w:t xml:space="preserve"> in response to it. Here value resides in the exchange of ideas made possible by carefully contextualized display of cultural artifacts. In this view, Shakespeare’s plays only matter to the extent that their preservation, curation, and presentation spark new thought and communication—including adaptations and criticism—on ongoing social, ethical, political, and historical questions. </w:t>
      </w:r>
    </w:p>
    <w:p w:rsidR="008D084E" w:rsidRDefault="008D084E" w:rsidP="008D084E"/>
    <w:p w:rsidR="008D084E" w:rsidRDefault="008D084E" w:rsidP="008D084E">
      <w:r>
        <w:t xml:space="preserve">Shakespeare isn’t celebrated in the contact zone model. I suspect, anyway, that those who like to celebrate Shakespeare really mean—though may not know it—that they highly value those times in their lives when art and culture brought them to reflect and converse on issues of social, ethical, and political significance. It is those experiences that they cherish, not the object that inaugurated them. </w:t>
      </w:r>
    </w:p>
    <w:p w:rsidR="008D084E" w:rsidRDefault="008D084E" w:rsidP="008D084E"/>
    <w:p w:rsidR="008D084E" w:rsidRDefault="008D084E" w:rsidP="008D084E">
      <w:r>
        <w:t xml:space="preserve">That’s why, in recent years, institutions that preserve, curate, and display Shakespeare have changed their value proposition from the material object—his texts—to the lived experience of his audiences. Emphasis has shifted from the glory of Shakespeare’s genius to interactive, improvisational conversations, especially those that arise along axes of identity, and particularly those involving descendants of the cultures implicated in Shakespeare’s plays. Shakespearean agencies are following museums into a “contact zone” posture, emphasizing collaboration, </w:t>
      </w:r>
      <w:proofErr w:type="spellStart"/>
      <w:r>
        <w:t>copresence</w:t>
      </w:r>
      <w:proofErr w:type="spellEnd"/>
      <w:r>
        <w:t xml:space="preserve">, sharing of authority, and distribution of resources with representatives from the diversity of identities that appear in his plays and beyond. </w:t>
      </w:r>
    </w:p>
    <w:p w:rsidR="008D084E" w:rsidRDefault="008D084E" w:rsidP="008D084E"/>
    <w:p w:rsidR="008D084E" w:rsidRDefault="008D084E" w:rsidP="008D084E">
      <w:r>
        <w:t>To see Shakespeare as a museum is to recognize the author and the industry around him as a site of colonial encounters with power imbalances—and opportunities for redress. A contact zone approach shifts Shakespeare “from being about something to being for someone,” to quote Stephen Weil’s account of the shift in modern museums. In 2019, the International Council of Museums caused a stir by proposing a new definition of museums, not as collections of artifacts, but as “democratizing, inclusive, and polyphonic spaces</w:t>
      </w:r>
      <w:proofErr w:type="gramStart"/>
      <w:r>
        <w:t>….aiming</w:t>
      </w:r>
      <w:proofErr w:type="gramEnd"/>
      <w:r>
        <w:t xml:space="preserve"> to contribute to human dignity and social justice, global equality, and planetary wellbeing.”  </w:t>
      </w:r>
    </w:p>
    <w:p w:rsidR="008D084E" w:rsidRDefault="008D084E" w:rsidP="008D084E"/>
    <w:p w:rsidR="008D084E" w:rsidRDefault="008D084E" w:rsidP="008D084E">
      <w:r>
        <w:t xml:space="preserve">Like many museum objects, Shakespeare’s play are opportunities for the descendants of the cultures implicated in them to meet for discussion. Those cultures don’t need Shakespeare for their cultural conversations; they’d be just fine without Shakespeare and his colonial agents. But it’s an opportunity for reparations given the wealth and power amassed in Shakespeare’s name. The institutions that have established themselves as conservators of this cultural history can use their resources to stage meeting grounds for the cultures involved. The goal here is a distribution of resources—especially funding and job opportunities, but also media attention—that recognizes histories of asymmetrical power relationships. Different bodies bring different historically attuned perspectives to Shakespeare. Who is qualified to speak on </w:t>
      </w:r>
      <w:r w:rsidRPr="004706F0">
        <w:rPr>
          <w:i/>
        </w:rPr>
        <w:t>Othello</w:t>
      </w:r>
      <w:r>
        <w:t xml:space="preserve">—a Shakespeare scholar or a Moroccan scholar? </w:t>
      </w:r>
    </w:p>
    <w:p w:rsidR="008D084E" w:rsidRDefault="008D084E" w:rsidP="008D084E"/>
    <w:p w:rsidR="008D084E" w:rsidRDefault="008D084E" w:rsidP="008D084E">
      <w:r>
        <w:t xml:space="preserve">Posing questions like this, Shakespearean institutions are increasingly going global and going local. There’s the International Shakespeare Association’s World Shakespeare Conference, started in 1976; the Public Theater’s Mobile Unit in New York City and the Old Globe’s Globe-to-Globe tours in San Diego; the World Shakespeare Festival; the </w:t>
      </w:r>
      <w:r w:rsidRPr="004706F0">
        <w:rPr>
          <w:i/>
        </w:rPr>
        <w:t>Globe to Globe Hamlet</w:t>
      </w:r>
      <w:r>
        <w:t>; #</w:t>
      </w:r>
      <w:proofErr w:type="spellStart"/>
      <w:r>
        <w:t>ShakeRace</w:t>
      </w:r>
      <w:proofErr w:type="spellEnd"/>
      <w:r>
        <w:t xml:space="preserve">; Shakespeare and Race conferences at the Globe; and Race B4 Race at the Folger Shakespeare Library. These modern Shakespearean manifestations—in criticism, performance, adaptation, appropriation, and institutionalization—are actual contact zones, in contrast to the imagined contact zones of Shakespeare's plays. </w:t>
      </w:r>
    </w:p>
    <w:p w:rsidR="008D084E" w:rsidRDefault="008D084E" w:rsidP="008D084E"/>
    <w:p w:rsidR="008D084E" w:rsidRDefault="008D084E" w:rsidP="008D084E">
      <w:r>
        <w:t xml:space="preserve">There is tremendous energy behind these efforts in the Shakespeare industry, but questions remain. Is it even possible to decolonize the Shakespeare industry? Does hosting these programs under the auspices of Shakespeare result in neo-colonial theft of the academic work of BIPOC scholars? Do these initiatives just fall into the trap critiqued by the INCITE! collection </w:t>
      </w:r>
      <w:r w:rsidRPr="004706F0">
        <w:rPr>
          <w:i/>
        </w:rPr>
        <w:t>The Revolution Will Not Be Funded: Beyond the Non-Profit Industrial Complex</w:t>
      </w:r>
      <w:r>
        <w:t xml:space="preserve"> (2017)? What would the repatriation of Shakespeare’s stories look like? </w:t>
      </w:r>
    </w:p>
    <w:p w:rsidR="008D084E" w:rsidRDefault="008D084E" w:rsidP="008D084E"/>
    <w:p w:rsidR="008D084E" w:rsidRPr="0006783D" w:rsidRDefault="008D084E" w:rsidP="008D084E">
      <w:pPr>
        <w:rPr>
          <w:i/>
        </w:rPr>
      </w:pPr>
      <w:r w:rsidRPr="0006783D">
        <w:rPr>
          <w:i/>
        </w:rPr>
        <w:t>What Lies Ahead</w:t>
      </w:r>
    </w:p>
    <w:p w:rsidR="008D084E" w:rsidRDefault="008D084E" w:rsidP="008D084E"/>
    <w:p w:rsidR="008D084E" w:rsidRDefault="008D084E" w:rsidP="008D084E">
      <w:r>
        <w:t xml:space="preserve">This is not a call to action as much as a glimpse into the future. If the Shakespeare industry exhibits the features of museums, it can expect to encounter the controversies museums regularly face. Like museums, Shakespearean institutions aim for contextualized display of often difficult histories: good intentions and bad mistakes exist side-by-side. Then comes offensiveness, misunderstandings, outrage, controversies, and apologies. In Clifford’s words, “Such crossings are never ‘free’ and indeed are routinely blocked by budgets and curatorial control, by restrictive definitions of art and culture, by community hostility and miscomprehension.” Museums don’t rectify histories of injustice simply by adopting a contact zone approach. Neither does Shakespeare. </w:t>
      </w:r>
    </w:p>
    <w:p w:rsidR="008D084E" w:rsidRDefault="008D084E" w:rsidP="008D084E"/>
    <w:p w:rsidR="008D084E" w:rsidRDefault="008D084E" w:rsidP="008D084E">
      <w:r>
        <w:t xml:space="preserve">There will still be people who highly value—even fetishize—the Shakespearean text, as with museum objects. But there will also be people within the institutions who hold serious ethical reservations about the history of preserving those Shakespearean artifacts. Attention will be tightly focused on the demographics of the leadership team. Paralleling the theory/practice divide in museum work, academic Shakespeare studies will continue to be highly skeptical of </w:t>
      </w:r>
      <w:proofErr w:type="spellStart"/>
      <w:r>
        <w:t>bardolatry</w:t>
      </w:r>
      <w:proofErr w:type="spellEnd"/>
      <w:r>
        <w:t>, while Shakespeare institutions stomach it uncomfortably for the sake of financial sustainability. Proponents will advocate for Shakespeare as a site of public education and progressive politics, while critics will ask who is included and excluded in visions of “progress</w:t>
      </w:r>
      <w:r>
        <w:t>”</w:t>
      </w:r>
      <w:r>
        <w:t xml:space="preserve"> and “publics</w:t>
      </w:r>
      <w:r w:rsidR="004706F0">
        <w:t>”</w:t>
      </w:r>
      <w:r>
        <w:t xml:space="preserve"> centered upon a </w:t>
      </w:r>
      <w:r w:rsidR="004706F0">
        <w:t>400-year-old</w:t>
      </w:r>
      <w:r>
        <w:t xml:space="preserve"> white English man. </w:t>
      </w:r>
    </w:p>
    <w:p w:rsidR="008D084E" w:rsidRDefault="008D084E" w:rsidP="008D084E"/>
    <w:p w:rsidR="008D084E" w:rsidRDefault="008D084E" w:rsidP="008D084E">
      <w:r>
        <w:t xml:space="preserve">People who love Shakespeare’s plays, but hate some of the things carried out in his name, will continue to feel unease and modulate their engagement on a case-by-case basis. Reflecting the not-always-productive tension between Museum Studies and museum practices, there will be continued differences between the scholars whose job it is to study Shakespeare and the professionals whose job it is to display Shakespeare to the public. </w:t>
      </w:r>
    </w:p>
    <w:p w:rsidR="008D084E" w:rsidRDefault="008D084E" w:rsidP="008D084E"/>
    <w:p w:rsidR="008D084E" w:rsidRDefault="008D084E" w:rsidP="008D084E">
      <w:r>
        <w:lastRenderedPageBreak/>
        <w:t>Some outside the Shakespeare institutions will forever view them as evil. Sometimes the scholars and skeptics will infiltrate the institutions, achieving leadership roles, changing the way business is done. But often institutional gatekeepers, their donors, and their boards will limit new voices, preserving the status quo. Change will come to the Shakespeare industry slowly: old money will have more power than new voices. Younger, lower ranked employees of Shakespeare institutions will get frustrated, fed up, and call out the sins of their bosses. Smaller grassroots Shakespeare organizations will continue popping up, even as the larger established Shakespeare institutions gobble up all the funding. Eventually, the powers that be will come to recognize that justice only truly comes when the vast resources of the Shakespeare industry, amassed through histories of colonization and exploitation—I mean funding and employment—are distributed equitably with deliberate and explicit steps taken to support people who hold the identities disenfranchised during the centuries long effort to make Shakespeare an important cultural artifact.</w:t>
      </w:r>
    </w:p>
    <w:p w:rsidR="00320763" w:rsidRDefault="00320763" w:rsidP="00320763">
      <w:pPr>
        <w:jc w:val="center"/>
      </w:pPr>
    </w:p>
    <w:p w:rsidR="0006783D" w:rsidRDefault="0006783D" w:rsidP="00320763">
      <w:pPr>
        <w:jc w:val="center"/>
      </w:pPr>
    </w:p>
    <w:p w:rsidR="0006783D" w:rsidRDefault="0006783D" w:rsidP="00320763">
      <w:pPr>
        <w:jc w:val="center"/>
      </w:pPr>
    </w:p>
    <w:p w:rsidR="00320763" w:rsidRDefault="0006783D" w:rsidP="0006783D">
      <w:pPr>
        <w:spacing w:line="480" w:lineRule="auto"/>
        <w:jc w:val="center"/>
      </w:pPr>
      <w:r>
        <w:t>Building t</w:t>
      </w:r>
      <w:r w:rsidR="00320763">
        <w:t>he Public Shakespeare Network</w:t>
      </w:r>
    </w:p>
    <w:p w:rsidR="00F47491" w:rsidRDefault="0006783D" w:rsidP="0006783D">
      <w:pPr>
        <w:spacing w:line="480" w:lineRule="auto"/>
      </w:pPr>
      <w:r>
        <w:tab/>
      </w:r>
      <w:r w:rsidR="00F47491">
        <w:t>What follows is an overview of the Public Shakespeare Network, which is hoping to launch in Summer 2021. There will be two main venues—</w:t>
      </w:r>
      <w:r>
        <w:t>a</w:t>
      </w:r>
      <w:r w:rsidR="00F47491">
        <w:t xml:space="preserve"> website at www.publicshax.com and the social media handle @</w:t>
      </w:r>
      <w:proofErr w:type="spellStart"/>
      <w:r w:rsidR="00F47491">
        <w:t>PublicShax</w:t>
      </w:r>
      <w:proofErr w:type="spellEnd"/>
      <w:r w:rsidR="00F47491">
        <w:t xml:space="preserve">. The website is the venue for static substantive content, and social media is for community and news. </w:t>
      </w:r>
    </w:p>
    <w:p w:rsidR="00F47491" w:rsidRDefault="0006783D" w:rsidP="0006783D">
      <w:pPr>
        <w:spacing w:line="480" w:lineRule="auto"/>
      </w:pPr>
      <w:r>
        <w:tab/>
      </w:r>
      <w:r w:rsidR="00F47491">
        <w:t xml:space="preserve">The Public Shakespeare website is simple, clean, and concise. It has four main sections: (1) </w:t>
      </w:r>
      <w:r w:rsidR="00F47491" w:rsidRPr="004706F0">
        <w:rPr>
          <w:i/>
        </w:rPr>
        <w:t>Connections</w:t>
      </w:r>
      <w:r w:rsidR="00F47491">
        <w:t xml:space="preserve">, (2) </w:t>
      </w:r>
      <w:r w:rsidR="00F47491" w:rsidRPr="004706F0">
        <w:rPr>
          <w:i/>
        </w:rPr>
        <w:t>How To</w:t>
      </w:r>
      <w:r w:rsidR="00F47491">
        <w:t xml:space="preserve">, (3) </w:t>
      </w:r>
      <w:r w:rsidR="00F47491" w:rsidRPr="004706F0">
        <w:rPr>
          <w:i/>
        </w:rPr>
        <w:t>Workshops</w:t>
      </w:r>
      <w:r w:rsidR="00F47491">
        <w:t xml:space="preserve">, and (4) </w:t>
      </w:r>
      <w:r w:rsidR="00F47491" w:rsidRPr="004706F0">
        <w:rPr>
          <w:i/>
        </w:rPr>
        <w:t>Reading</w:t>
      </w:r>
      <w:r w:rsidR="00F47491">
        <w:t xml:space="preserve">. </w:t>
      </w:r>
    </w:p>
    <w:p w:rsidR="00F47491" w:rsidRDefault="00F47491" w:rsidP="0006783D">
      <w:pPr>
        <w:pStyle w:val="ListParagraph"/>
        <w:numPr>
          <w:ilvl w:val="0"/>
          <w:numId w:val="6"/>
        </w:numPr>
        <w:spacing w:line="480" w:lineRule="auto"/>
      </w:pPr>
      <w:r>
        <w:t xml:space="preserve">The </w:t>
      </w:r>
      <w:r w:rsidRPr="004706F0">
        <w:rPr>
          <w:i/>
        </w:rPr>
        <w:t>Connections</w:t>
      </w:r>
      <w:r>
        <w:t xml:space="preserve"> page offers contacts for organizations looking to host Public Shakespeare projects, and scholars available to serve. Organizations come here to find scholars open to partnerships for public-facing projects. Scholars come here find places to pitch new Public Shakespeare projects. Senior scholars in the Public Shakespeare Network make themselves—their advice and their connections—available to junior scholars. Editors and platforms offer a brief note warmly inviting projects, pitches, and partnerships. Whereas the list of groups and individuals interested in hosting is curated and moderated, the list of available scholars is a wiki, meaning anyone can add their name and areas of focus. </w:t>
      </w:r>
    </w:p>
    <w:p w:rsidR="00F47491" w:rsidRDefault="00F47491" w:rsidP="0006783D">
      <w:pPr>
        <w:pStyle w:val="ListParagraph"/>
        <w:numPr>
          <w:ilvl w:val="0"/>
          <w:numId w:val="6"/>
        </w:numPr>
        <w:spacing w:line="480" w:lineRule="auto"/>
      </w:pPr>
      <w:r>
        <w:lastRenderedPageBreak/>
        <w:t xml:space="preserve">The </w:t>
      </w:r>
      <w:proofErr w:type="gramStart"/>
      <w:r w:rsidRPr="004706F0">
        <w:rPr>
          <w:i/>
        </w:rPr>
        <w:t>How To</w:t>
      </w:r>
      <w:proofErr w:type="gramEnd"/>
      <w:r>
        <w:t xml:space="preserve"> section is the centerpiece of the website. It offers concrete practical advice on how to do Shakespeare news stories, op </w:t>
      </w:r>
      <w:proofErr w:type="spellStart"/>
      <w:r>
        <w:t>eds</w:t>
      </w:r>
      <w:proofErr w:type="spellEnd"/>
      <w:r>
        <w:t xml:space="preserve">, longform essays, podcasts, community events, online events, and social media—plus especially powerful examples of each form, annotated to emphasize possible strategies and approaches. </w:t>
      </w:r>
      <w:r>
        <w:t xml:space="preserve">Possible examples include: </w:t>
      </w:r>
    </w:p>
    <w:p w:rsidR="00F47491" w:rsidRDefault="00F47491" w:rsidP="0006783D">
      <w:pPr>
        <w:pStyle w:val="ListParagraph"/>
        <w:numPr>
          <w:ilvl w:val="0"/>
          <w:numId w:val="3"/>
        </w:numPr>
        <w:spacing w:line="480" w:lineRule="auto"/>
        <w:ind w:left="1170"/>
      </w:pPr>
      <w:r>
        <w:t xml:space="preserve">Op </w:t>
      </w:r>
      <w:proofErr w:type="spellStart"/>
      <w:r>
        <w:t>Ed</w:t>
      </w:r>
      <w:r>
        <w:t>s</w:t>
      </w:r>
      <w:proofErr w:type="spellEnd"/>
      <w:r>
        <w:t>: Stephen Greenblatt, "Shakespeare Explains the 2016 Election” (2016); Rebecca Yearling, "Snowflakes and trigger warnings: Shakespearean violence has always upset people” (2018); Emma Smith, "The page's the thing – take it from Shakespeare's earliest readers” (2020)</w:t>
      </w:r>
    </w:p>
    <w:p w:rsidR="00F47491" w:rsidRDefault="00F47491" w:rsidP="0006783D">
      <w:pPr>
        <w:pStyle w:val="ListParagraph"/>
        <w:numPr>
          <w:ilvl w:val="0"/>
          <w:numId w:val="3"/>
        </w:numPr>
        <w:spacing w:line="480" w:lineRule="auto"/>
        <w:ind w:left="1170"/>
      </w:pPr>
      <w:r>
        <w:t>Longform</w:t>
      </w:r>
      <w:r>
        <w:t xml:space="preserve"> Essays</w:t>
      </w:r>
      <w:r>
        <w:t xml:space="preserve">: Laura Kolb, “The Very Modern Anger of Shakespeare’s Women” (2019); Marcos </w:t>
      </w:r>
      <w:proofErr w:type="spellStart"/>
      <w:r>
        <w:t>Gonsalez</w:t>
      </w:r>
      <w:proofErr w:type="spellEnd"/>
      <w:r>
        <w:t xml:space="preserve">, "Caliban Never Belonged to Shakespeare” (2019); Madeline </w:t>
      </w:r>
      <w:proofErr w:type="spellStart"/>
      <w:r>
        <w:t>Sayet</w:t>
      </w:r>
      <w:proofErr w:type="spellEnd"/>
      <w:r>
        <w:t>, "Interrogating the Shakespeare System” (2020)</w:t>
      </w:r>
    </w:p>
    <w:p w:rsidR="00F47491" w:rsidRDefault="00F47491" w:rsidP="0006783D">
      <w:pPr>
        <w:pStyle w:val="ListParagraph"/>
        <w:numPr>
          <w:ilvl w:val="0"/>
          <w:numId w:val="3"/>
        </w:numPr>
        <w:spacing w:line="480" w:lineRule="auto"/>
        <w:ind w:left="1170"/>
      </w:pPr>
      <w:r>
        <w:t>Podcast</w:t>
      </w:r>
      <w:r>
        <w:t>s</w:t>
      </w:r>
      <w:r>
        <w:t xml:space="preserve">: </w:t>
      </w:r>
      <w:r w:rsidRPr="00D63AC7">
        <w:rPr>
          <w:i/>
        </w:rPr>
        <w:t>Shakespeare Unlimited</w:t>
      </w:r>
      <w:r>
        <w:t xml:space="preserve">; </w:t>
      </w:r>
      <w:r w:rsidRPr="00D63AC7">
        <w:rPr>
          <w:i/>
        </w:rPr>
        <w:t>That Shakespeare Life</w:t>
      </w:r>
    </w:p>
    <w:p w:rsidR="00F47491" w:rsidRDefault="00F47491" w:rsidP="0006783D">
      <w:pPr>
        <w:pStyle w:val="ListParagraph"/>
        <w:numPr>
          <w:ilvl w:val="0"/>
          <w:numId w:val="3"/>
        </w:numPr>
        <w:spacing w:line="480" w:lineRule="auto"/>
        <w:ind w:left="1170"/>
      </w:pPr>
      <w:r>
        <w:t>Community Event</w:t>
      </w:r>
      <w:r>
        <w:t>s</w:t>
      </w:r>
      <w:r>
        <w:t xml:space="preserve">: </w:t>
      </w:r>
      <w:r w:rsidR="00D63AC7">
        <w:t xml:space="preserve">The </w:t>
      </w:r>
      <w:r>
        <w:t>Public Shakespeare Initiative; Race B4 Race</w:t>
      </w:r>
    </w:p>
    <w:p w:rsidR="00F47491" w:rsidRDefault="00F47491" w:rsidP="0006783D">
      <w:pPr>
        <w:pStyle w:val="ListParagraph"/>
        <w:numPr>
          <w:ilvl w:val="0"/>
          <w:numId w:val="3"/>
        </w:numPr>
        <w:spacing w:line="480" w:lineRule="auto"/>
        <w:ind w:left="1170"/>
      </w:pPr>
      <w:r>
        <w:t>Online Event</w:t>
      </w:r>
      <w:r>
        <w:t xml:space="preserve">s: </w:t>
      </w:r>
      <w:r w:rsidR="00D63AC7">
        <w:t xml:space="preserve">“Exploring </w:t>
      </w:r>
      <w:r w:rsidR="00D63AC7" w:rsidRPr="00D63AC7">
        <w:rPr>
          <w:i/>
        </w:rPr>
        <w:t>Othello</w:t>
      </w:r>
      <w:r w:rsidR="00D63AC7">
        <w:t xml:space="preserve"> in 2020”</w:t>
      </w:r>
      <w:r>
        <w:t xml:space="preserve">; The Folger Library, "Shakespeare's Birthday 2020: </w:t>
      </w:r>
      <w:r w:rsidR="00D63AC7">
        <w:t>‘</w:t>
      </w:r>
      <w:r>
        <w:t>Why Do Fabulously Creative People Like Shakespeare?</w:t>
      </w:r>
      <w:r w:rsidR="00D63AC7">
        <w:t>’</w:t>
      </w:r>
      <w:r>
        <w:t>"</w:t>
      </w:r>
    </w:p>
    <w:p w:rsidR="00F47491" w:rsidRDefault="00F47491" w:rsidP="0006783D">
      <w:pPr>
        <w:pStyle w:val="ListParagraph"/>
        <w:numPr>
          <w:ilvl w:val="0"/>
          <w:numId w:val="3"/>
        </w:numPr>
        <w:spacing w:line="480" w:lineRule="auto"/>
        <w:ind w:left="1170"/>
      </w:pPr>
      <w:r>
        <w:t>Social Media</w:t>
      </w:r>
      <w:r>
        <w:t xml:space="preserve">: </w:t>
      </w:r>
      <w:r>
        <w:t>#</w:t>
      </w:r>
      <w:proofErr w:type="spellStart"/>
      <w:r>
        <w:t>ShakeRace</w:t>
      </w:r>
      <w:proofErr w:type="spellEnd"/>
      <w:r>
        <w:t>, #</w:t>
      </w:r>
      <w:proofErr w:type="spellStart"/>
      <w:r>
        <w:t>ShakespeareSunday</w:t>
      </w:r>
      <w:proofErr w:type="spellEnd"/>
    </w:p>
    <w:p w:rsidR="00F47491" w:rsidRDefault="00F47491" w:rsidP="0006783D">
      <w:pPr>
        <w:pStyle w:val="ListParagraph"/>
        <w:numPr>
          <w:ilvl w:val="0"/>
          <w:numId w:val="3"/>
        </w:numPr>
        <w:spacing w:line="480" w:lineRule="auto"/>
        <w:ind w:left="1170"/>
      </w:pPr>
      <w:bookmarkStart w:id="0" w:name="_GoBack"/>
      <w:bookmarkEnd w:id="0"/>
      <w:r>
        <w:t xml:space="preserve">News: </w:t>
      </w:r>
      <w:proofErr w:type="spellStart"/>
      <w:r>
        <w:t>Dalya</w:t>
      </w:r>
      <w:proofErr w:type="spellEnd"/>
      <w:r>
        <w:t xml:space="preserve"> </w:t>
      </w:r>
      <w:proofErr w:type="spellStart"/>
      <w:r>
        <w:t>Alberge</w:t>
      </w:r>
      <w:proofErr w:type="spellEnd"/>
      <w:r>
        <w:t>, "Christopher Marlowe credited as one of Shakespeare's co-writers” (2016); David Keys, "London’s oldest theatre discovered in East End excavation” (2020)</w:t>
      </w:r>
    </w:p>
    <w:p w:rsidR="0006783D" w:rsidRDefault="00F47491" w:rsidP="0006783D">
      <w:pPr>
        <w:pStyle w:val="ListParagraph"/>
        <w:numPr>
          <w:ilvl w:val="0"/>
          <w:numId w:val="6"/>
        </w:numPr>
        <w:spacing w:line="480" w:lineRule="auto"/>
      </w:pPr>
      <w:r>
        <w:t xml:space="preserve">The </w:t>
      </w:r>
      <w:r w:rsidRPr="004706F0">
        <w:rPr>
          <w:i/>
        </w:rPr>
        <w:t>Workshops</w:t>
      </w:r>
      <w:r>
        <w:t xml:space="preserve"> page outlines our community-based approach to shepherding new Public Shakespeare into existence. Sometimes that means our community nudges a certain Shakespeare scholar </w:t>
      </w:r>
      <w:r w:rsidR="00D63AC7">
        <w:t>to go public</w:t>
      </w:r>
      <w:r w:rsidR="00D63AC7">
        <w:t xml:space="preserve"> when their </w:t>
      </w:r>
      <w:r>
        <w:t xml:space="preserve">knowledge can illuminate some aspect of life today. Sometimes it means talking through, testing out, and developing ideas with </w:t>
      </w:r>
      <w:r>
        <w:lastRenderedPageBreak/>
        <w:t xml:space="preserve">that scholar in conversation. Sometimes it means reading drafts and offering notes for further thought. </w:t>
      </w:r>
    </w:p>
    <w:p w:rsidR="00F47491" w:rsidRDefault="00F47491" w:rsidP="0006783D">
      <w:pPr>
        <w:pStyle w:val="ListParagraph"/>
        <w:numPr>
          <w:ilvl w:val="0"/>
          <w:numId w:val="6"/>
        </w:numPr>
        <w:spacing w:line="480" w:lineRule="auto"/>
      </w:pPr>
      <w:r>
        <w:t xml:space="preserve">The </w:t>
      </w:r>
      <w:r w:rsidRPr="00D63AC7">
        <w:rPr>
          <w:i/>
        </w:rPr>
        <w:t>Readings</w:t>
      </w:r>
      <w:r>
        <w:t xml:space="preserve"> section offers curated bibliographies of scholarly work on Public Shakespeare, Public Humanities, Public Writing, and Civic Engagement.</w:t>
      </w:r>
    </w:p>
    <w:p w:rsidR="00F47491" w:rsidRDefault="00F47491" w:rsidP="0006783D">
      <w:pPr>
        <w:spacing w:line="480" w:lineRule="auto"/>
      </w:pPr>
      <w:r>
        <w:t>The social media presence of the network, using the @</w:t>
      </w:r>
      <w:proofErr w:type="spellStart"/>
      <w:r>
        <w:t>PublicShax</w:t>
      </w:r>
      <w:proofErr w:type="spellEnd"/>
      <w:r>
        <w:t xml:space="preserve"> handle and the #</w:t>
      </w:r>
      <w:proofErr w:type="spellStart"/>
      <w:r>
        <w:t>PublicShax</w:t>
      </w:r>
      <w:proofErr w:type="spellEnd"/>
      <w:r>
        <w:t xml:space="preserve"> hashtag, will generate energy and visibility for the kind of Public Shakespeare that our community hopes to foster. That means promoting and celebrating the work of our community members. It means circulating stories of Shakespeare in the news, which are often opportunities for Public </w:t>
      </w:r>
      <w:proofErr w:type="spellStart"/>
      <w:r>
        <w:t>ShakesWork</w:t>
      </w:r>
      <w:proofErr w:type="spellEnd"/>
      <w:r>
        <w:t xml:space="preserve"> that deepens the conversation. And it means instances where the academic research of early modern literature scholars can usefully inform ongoing cultural conversations.</w:t>
      </w:r>
      <w:r w:rsidR="00D63AC7">
        <w:rPr>
          <w:rStyle w:val="EndnoteReference"/>
        </w:rPr>
        <w:endnoteReference w:id="14"/>
      </w:r>
      <w:r>
        <w:t xml:space="preserve"> </w:t>
      </w:r>
    </w:p>
    <w:p w:rsidR="00D63AC7" w:rsidRDefault="00D63AC7" w:rsidP="0006783D">
      <w:pPr>
        <w:spacing w:line="480" w:lineRule="auto"/>
      </w:pPr>
      <w:r>
        <w:tab/>
        <w:t xml:space="preserve">I’ll end with three questions for further thought: </w:t>
      </w:r>
    </w:p>
    <w:p w:rsidR="00D63AC7" w:rsidRDefault="00D63AC7" w:rsidP="00D63AC7">
      <w:pPr>
        <w:pStyle w:val="ListParagraph"/>
        <w:numPr>
          <w:ilvl w:val="0"/>
          <w:numId w:val="7"/>
        </w:numPr>
        <w:spacing w:line="480" w:lineRule="auto"/>
        <w:ind w:left="1440"/>
      </w:pPr>
      <w:r w:rsidRPr="00D63AC7">
        <w:rPr>
          <w:i/>
        </w:rPr>
        <w:t xml:space="preserve">Does the world need a Public Shakespeare </w:t>
      </w:r>
      <w:proofErr w:type="gramStart"/>
      <w:r w:rsidRPr="00D63AC7">
        <w:rPr>
          <w:i/>
        </w:rPr>
        <w:t>network?</w:t>
      </w:r>
      <w:r>
        <w:t>:</w:t>
      </w:r>
      <w:proofErr w:type="gramEnd"/>
      <w:r>
        <w:t xml:space="preserve"> This idea was conceived, admittedly, as a way to support and celebrate scholars doing the work of public education, but it will only be sustainable if there is market demand for this work. </w:t>
      </w:r>
    </w:p>
    <w:p w:rsidR="00D63AC7" w:rsidRDefault="00D63AC7" w:rsidP="00D63AC7">
      <w:pPr>
        <w:pStyle w:val="ListParagraph"/>
        <w:numPr>
          <w:ilvl w:val="0"/>
          <w:numId w:val="7"/>
        </w:numPr>
        <w:spacing w:line="480" w:lineRule="auto"/>
        <w:ind w:left="1440"/>
      </w:pPr>
      <w:r w:rsidRPr="00D63AC7">
        <w:rPr>
          <w:i/>
        </w:rPr>
        <w:t>The centering of Shakespeare in “Public Shakespeare”</w:t>
      </w:r>
      <w:r>
        <w:t xml:space="preserve">: it leverages Shakespeare’s cultural capital and the momentum of Shakespeare as an established platform for cultural conversation, but it also reifies </w:t>
      </w:r>
      <w:r>
        <w:t>some</w:t>
      </w:r>
      <w:r>
        <w:t xml:space="preserve"> misogynistic, racist, elitist, ableist cultural traditions that this network stands against. </w:t>
      </w:r>
    </w:p>
    <w:p w:rsidR="00D63AC7" w:rsidRPr="00574931" w:rsidRDefault="00D63AC7" w:rsidP="00D63AC7">
      <w:pPr>
        <w:pStyle w:val="ListParagraph"/>
        <w:numPr>
          <w:ilvl w:val="0"/>
          <w:numId w:val="7"/>
        </w:numPr>
        <w:spacing w:line="480" w:lineRule="auto"/>
        <w:ind w:left="1440"/>
      </w:pPr>
      <w:r w:rsidRPr="00D63AC7">
        <w:rPr>
          <w:i/>
        </w:rPr>
        <w:t>The moderation of the network</w:t>
      </w:r>
      <w:r>
        <w:t xml:space="preserve">: I’m happy to take on this role in the beginning, but I’m also (in all likelihood) on my way out of academia. Can the network </w:t>
      </w:r>
      <w:r>
        <w:lastRenderedPageBreak/>
        <w:t>become self-sustaining, or what would community organization look like in the future?</w:t>
      </w:r>
    </w:p>
    <w:sectPr w:rsidR="00D63AC7" w:rsidRPr="00574931" w:rsidSect="00F93AF4">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7FA" w:rsidRDefault="00E467FA" w:rsidP="00D07B15">
      <w:r>
        <w:separator/>
      </w:r>
    </w:p>
  </w:endnote>
  <w:endnote w:type="continuationSeparator" w:id="0">
    <w:p w:rsidR="00E467FA" w:rsidRDefault="00E467FA" w:rsidP="00D07B15">
      <w:r>
        <w:continuationSeparator/>
      </w:r>
    </w:p>
  </w:endnote>
  <w:endnote w:id="1">
    <w:p w:rsidR="0006783D" w:rsidRPr="00D07B15" w:rsidRDefault="0006783D">
      <w:pPr>
        <w:pStyle w:val="EndnoteText"/>
      </w:pPr>
      <w:r>
        <w:rPr>
          <w:rStyle w:val="EndnoteReference"/>
        </w:rPr>
        <w:endnoteRef/>
      </w:r>
      <w:r>
        <w:t xml:space="preserve"> See </w:t>
      </w:r>
      <w:r w:rsidRPr="00D07B15">
        <w:t xml:space="preserve">Emma Smith, "'Out damned spot': The Lady Macbeth Hand-Washing Scene that Became a Coronavirus Meme,” </w:t>
      </w:r>
      <w:r w:rsidRPr="00D07B15">
        <w:rPr>
          <w:i/>
        </w:rPr>
        <w:t>Penguin Books</w:t>
      </w:r>
      <w:r w:rsidRPr="00D07B15">
        <w:t xml:space="preserve"> (March 12, 2020)</w:t>
      </w:r>
      <w:r>
        <w:t xml:space="preserve">; </w:t>
      </w:r>
      <w:r w:rsidRPr="00D07B15">
        <w:t>Daniel Pollack-</w:t>
      </w:r>
      <w:proofErr w:type="spellStart"/>
      <w:r w:rsidRPr="00D07B15">
        <w:t>Pelzner</w:t>
      </w:r>
      <w:proofErr w:type="spellEnd"/>
      <w:r w:rsidRPr="00D07B15">
        <w:t xml:space="preserve">, “Shakespeare Wrote His Best Works During a Plague,” </w:t>
      </w:r>
      <w:r w:rsidRPr="00D07B15">
        <w:rPr>
          <w:i/>
        </w:rPr>
        <w:t>The Atlantic</w:t>
      </w:r>
      <w:r w:rsidRPr="00D07B15">
        <w:t xml:space="preserve"> (March 14, 2020)</w:t>
      </w:r>
      <w:r>
        <w:t xml:space="preserve">; </w:t>
      </w:r>
      <w:r w:rsidRPr="00D07B15">
        <w:t xml:space="preserve">James Shapiro, "The Shakespeare Play That Presaged the Trump Administration’s Response </w:t>
      </w:r>
      <w:proofErr w:type="spellStart"/>
      <w:r w:rsidRPr="00D07B15">
        <w:t>fo</w:t>
      </w:r>
      <w:proofErr w:type="spellEnd"/>
      <w:r w:rsidRPr="00D07B15">
        <w:t xml:space="preserve"> the Coronavirus Pandemic,” </w:t>
      </w:r>
      <w:r w:rsidRPr="00D07B15">
        <w:rPr>
          <w:i/>
        </w:rPr>
        <w:t>The New Yorker</w:t>
      </w:r>
      <w:r w:rsidRPr="00D07B15">
        <w:t xml:space="preserve"> (April 8, 2020)</w:t>
      </w:r>
      <w:r>
        <w:t xml:space="preserve">; and </w:t>
      </w:r>
      <w:r w:rsidRPr="00D07B15">
        <w:t>Stephen Greenblatt</w:t>
      </w:r>
      <w:r>
        <w:t xml:space="preserve">, “What Shakespeare Actually Wrote About the Plague,” </w:t>
      </w:r>
      <w:r>
        <w:rPr>
          <w:i/>
        </w:rPr>
        <w:t>The New Yorker</w:t>
      </w:r>
      <w:r>
        <w:t xml:space="preserve"> (May 7, 2020). </w:t>
      </w:r>
    </w:p>
  </w:endnote>
  <w:endnote w:id="2">
    <w:p w:rsidR="0006783D" w:rsidRDefault="0006783D">
      <w:pPr>
        <w:pStyle w:val="EndnoteText"/>
      </w:pPr>
      <w:r>
        <w:rPr>
          <w:rStyle w:val="EndnoteReference"/>
        </w:rPr>
        <w:endnoteRef/>
      </w:r>
      <w:r>
        <w:t xml:space="preserve"> See </w:t>
      </w:r>
      <w:r w:rsidRPr="00D07B15">
        <w:t xml:space="preserve">Rebecca </w:t>
      </w:r>
      <w:proofErr w:type="spellStart"/>
      <w:r w:rsidRPr="00D07B15">
        <w:t>Totaro</w:t>
      </w:r>
      <w:proofErr w:type="spellEnd"/>
      <w:r w:rsidRPr="00D07B15">
        <w:t xml:space="preserve">, </w:t>
      </w:r>
      <w:r w:rsidRPr="00D07B15">
        <w:rPr>
          <w:i/>
        </w:rPr>
        <w:t>Suffering in Paradise: The Bubonic Plague in English Literature from More to Milton</w:t>
      </w:r>
      <w:r w:rsidRPr="00D07B15">
        <w:t xml:space="preserve"> (</w:t>
      </w:r>
      <w:r>
        <w:t xml:space="preserve">Pittsburg: </w:t>
      </w:r>
      <w:r w:rsidRPr="00D07B15">
        <w:t>Duquesne University Press</w:t>
      </w:r>
      <w:r>
        <w:t>,</w:t>
      </w:r>
      <w:r w:rsidRPr="00D07B15">
        <w:t xml:space="preserve"> 2005); Ernest B. Gilman, </w:t>
      </w:r>
      <w:r w:rsidRPr="00D07B15">
        <w:rPr>
          <w:i/>
        </w:rPr>
        <w:t>Plague Writing in Early Modern England</w:t>
      </w:r>
      <w:r w:rsidRPr="00D07B15">
        <w:t xml:space="preserve"> (</w:t>
      </w:r>
      <w:r>
        <w:t xml:space="preserve">Chicago: University of Chicago Press, </w:t>
      </w:r>
      <w:r w:rsidRPr="00D07B15">
        <w:t xml:space="preserve">2009); Eric Langley, </w:t>
      </w:r>
      <w:r w:rsidRPr="00D07B15">
        <w:rPr>
          <w:i/>
        </w:rPr>
        <w:t>Shakespeare's Contagious Sympathies: Ill Communications</w:t>
      </w:r>
      <w:r w:rsidRPr="00D07B15">
        <w:t xml:space="preserve"> (</w:t>
      </w:r>
      <w:r>
        <w:t xml:space="preserve">Oxford: Oxford University Press, </w:t>
      </w:r>
      <w:r w:rsidRPr="00D07B15">
        <w:t xml:space="preserve">2018); </w:t>
      </w:r>
      <w:r>
        <w:t>and</w:t>
      </w:r>
      <w:r w:rsidRPr="00D07B15">
        <w:t xml:space="preserve"> </w:t>
      </w:r>
      <w:r w:rsidRPr="00D07B15">
        <w:rPr>
          <w:i/>
        </w:rPr>
        <w:t>Contagion and the Shakespearean Stage</w:t>
      </w:r>
      <w:r>
        <w:t>, ed.</w:t>
      </w:r>
      <w:r w:rsidRPr="00D07B15">
        <w:t xml:space="preserve"> </w:t>
      </w:r>
      <w:r w:rsidRPr="00D07B15">
        <w:t>Darryl Chalk and Mary Floyd-Wilson</w:t>
      </w:r>
      <w:r>
        <w:t xml:space="preserve"> </w:t>
      </w:r>
      <w:r w:rsidRPr="00D07B15">
        <w:t>(</w:t>
      </w:r>
      <w:r>
        <w:t xml:space="preserve">New York: Palgrave Macmillan, </w:t>
      </w:r>
      <w:r w:rsidRPr="00D07B15">
        <w:t>2019).</w:t>
      </w:r>
    </w:p>
  </w:endnote>
  <w:endnote w:id="3">
    <w:p w:rsidR="0006783D" w:rsidRDefault="0006783D">
      <w:pPr>
        <w:pStyle w:val="EndnoteText"/>
      </w:pPr>
      <w:r>
        <w:rPr>
          <w:rStyle w:val="EndnoteReference"/>
        </w:rPr>
        <w:endnoteRef/>
      </w:r>
      <w:r>
        <w:t xml:space="preserve"> See </w:t>
      </w:r>
      <w:r w:rsidRPr="00AA417B">
        <w:t xml:space="preserve">Gary Taylor, "What Hamlet Can Teach Us About Black Lives Matter,” </w:t>
      </w:r>
      <w:r w:rsidRPr="00AA417B">
        <w:rPr>
          <w:i/>
        </w:rPr>
        <w:t>Tampa Bay Times</w:t>
      </w:r>
      <w:r w:rsidRPr="00AA417B">
        <w:t xml:space="preserve"> (June 14, 2020).</w:t>
      </w:r>
    </w:p>
  </w:endnote>
  <w:endnote w:id="4">
    <w:p w:rsidR="0006783D" w:rsidRDefault="0006783D">
      <w:pPr>
        <w:pStyle w:val="EndnoteText"/>
      </w:pPr>
      <w:r>
        <w:rPr>
          <w:rStyle w:val="EndnoteReference"/>
        </w:rPr>
        <w:endnoteRef/>
      </w:r>
      <w:r>
        <w:t xml:space="preserve"> See </w:t>
      </w:r>
      <w:r w:rsidRPr="00AA417B">
        <w:t>Francesca T.  Royster</w:t>
      </w:r>
      <w:r>
        <w:t>, “</w:t>
      </w:r>
      <w:r w:rsidRPr="00F905E9">
        <w:t>Cleopatra as Diva: African-American Women and Shakespearean Tactics</w:t>
      </w:r>
      <w:r>
        <w:t xml:space="preserve">,” in </w:t>
      </w:r>
      <w:r w:rsidRPr="00F905E9">
        <w:rPr>
          <w:i/>
        </w:rPr>
        <w:t>Transforming Shakespeare: Contemporary Women's Re-Visions in Literature and Performance</w:t>
      </w:r>
      <w:r>
        <w:t xml:space="preserve">, ed. Marianne </w:t>
      </w:r>
      <w:proofErr w:type="spellStart"/>
      <w:r>
        <w:t>Novy</w:t>
      </w:r>
      <w:proofErr w:type="spellEnd"/>
      <w:r>
        <w:t xml:space="preserve"> (</w:t>
      </w:r>
      <w:r w:rsidRPr="00F905E9">
        <w:t>New York: St. Martin's Press, 1999</w:t>
      </w:r>
      <w:r>
        <w:t>);</w:t>
      </w:r>
      <w:r w:rsidRPr="00AA417B">
        <w:t xml:space="preserve"> </w:t>
      </w:r>
      <w:r w:rsidRPr="00AA417B">
        <w:t xml:space="preserve">Ayanna Thompson, </w:t>
      </w:r>
      <w:r w:rsidRPr="00F905E9">
        <w:rPr>
          <w:i/>
        </w:rPr>
        <w:t>Passing Strange: Shakespeare, Race, and Contemporary America</w:t>
      </w:r>
      <w:r w:rsidRPr="00F905E9">
        <w:t xml:space="preserve"> </w:t>
      </w:r>
      <w:r>
        <w:t>(Oxford: Oxford University Press, 2011);</w:t>
      </w:r>
      <w:r w:rsidRPr="00AA417B">
        <w:t xml:space="preserve"> </w:t>
      </w:r>
      <w:r w:rsidRPr="00AA417B">
        <w:t xml:space="preserve">Kim F. Hall, </w:t>
      </w:r>
      <w:r>
        <w:t>“</w:t>
      </w:r>
      <w:r w:rsidRPr="00AA417B">
        <w:t>Othello Was My Grandfather: Shakespeare in the African Diaspora</w:t>
      </w:r>
      <w:r>
        <w:t xml:space="preserve">,” at the Folger Shakespeare Library (Washington DC: </w:t>
      </w:r>
      <w:r w:rsidRPr="00F905E9">
        <w:t>Shakespeare Anniversary Lecture Series</w:t>
      </w:r>
      <w:r>
        <w:t xml:space="preserve">, </w:t>
      </w:r>
      <w:r w:rsidRPr="00F905E9">
        <w:t>June 27, 2016</w:t>
      </w:r>
      <w:r>
        <w:t>);</w:t>
      </w:r>
      <w:r w:rsidRPr="00AA417B">
        <w:t>, Kyle Grady</w:t>
      </w:r>
      <w:r>
        <w:t>,</w:t>
      </w:r>
      <w:r w:rsidRPr="00F905E9">
        <w:t xml:space="preserve"> </w:t>
      </w:r>
      <w:r>
        <w:t>“</w:t>
      </w:r>
      <w:r w:rsidRPr="00F905E9">
        <w:t>Othello, Colin Powell, and Post-Racial Anachronisms</w:t>
      </w:r>
      <w:r>
        <w:t xml:space="preserve">,” </w:t>
      </w:r>
      <w:r>
        <w:rPr>
          <w:i/>
        </w:rPr>
        <w:t xml:space="preserve">Shakespeare Quarterly </w:t>
      </w:r>
      <w:r>
        <w:t>67.1 (2016): 68-83;</w:t>
      </w:r>
      <w:r w:rsidRPr="00F905E9">
        <w:t xml:space="preserve"> </w:t>
      </w:r>
      <w:r w:rsidRPr="00AA417B">
        <w:t>and Jason Demeter</w:t>
      </w:r>
      <w:r>
        <w:t>, “</w:t>
      </w:r>
      <w:r w:rsidRPr="00F905E9">
        <w:t xml:space="preserve">African-American </w:t>
      </w:r>
      <w:proofErr w:type="spellStart"/>
      <w:r w:rsidRPr="00F905E9">
        <w:t>Shakespeares</w:t>
      </w:r>
      <w:proofErr w:type="spellEnd"/>
      <w:r w:rsidRPr="00F905E9">
        <w:t>: Loving Blackness as Political Resistance</w:t>
      </w:r>
      <w:r>
        <w:t xml:space="preserve">,” in </w:t>
      </w:r>
      <w:r w:rsidRPr="00F905E9">
        <w:rPr>
          <w:i/>
        </w:rPr>
        <w:t>Teaching Social Justice Through Shakespeare: Why Renaissance Literature Matters Now</w:t>
      </w:r>
      <w:r>
        <w:t xml:space="preserve">, ed. </w:t>
      </w:r>
      <w:r w:rsidRPr="00F905E9">
        <w:t>Hillary</w:t>
      </w:r>
      <w:r w:rsidRPr="00F905E9">
        <w:t xml:space="preserve"> Eklund </w:t>
      </w:r>
      <w:r>
        <w:t xml:space="preserve">and </w:t>
      </w:r>
      <w:r w:rsidRPr="00F905E9">
        <w:t>Wendy Beth</w:t>
      </w:r>
      <w:r w:rsidRPr="00F905E9">
        <w:t xml:space="preserve"> Hyman</w:t>
      </w:r>
      <w:r>
        <w:t xml:space="preserve"> (</w:t>
      </w:r>
      <w:r w:rsidRPr="00F905E9">
        <w:t>Edinburgh: Edinburgh University Press, 2019</w:t>
      </w:r>
      <w:r>
        <w:t>): 67-75.</w:t>
      </w:r>
    </w:p>
  </w:endnote>
  <w:endnote w:id="5">
    <w:p w:rsidR="0006783D" w:rsidRDefault="0006783D" w:rsidP="00775D12">
      <w:pPr>
        <w:pStyle w:val="EndnoteText"/>
      </w:pPr>
      <w:r>
        <w:rPr>
          <w:rStyle w:val="EndnoteReference"/>
        </w:rPr>
        <w:endnoteRef/>
      </w:r>
      <w:r>
        <w:t xml:space="preserve"> See </w:t>
      </w:r>
      <w:r w:rsidRPr="00775D12">
        <w:t>Christopher Newfield</w:t>
      </w:r>
      <w:r>
        <w:t xml:space="preserve">, </w:t>
      </w:r>
      <w:r w:rsidRPr="00775D12">
        <w:rPr>
          <w:i/>
        </w:rPr>
        <w:t>The Great Mistake</w:t>
      </w:r>
      <w:r w:rsidRPr="00775D12">
        <w:rPr>
          <w:i/>
        </w:rPr>
        <w:t xml:space="preserve">: </w:t>
      </w:r>
      <w:r w:rsidRPr="00775D12">
        <w:rPr>
          <w:i/>
        </w:rPr>
        <w:t>How We Wrecked Public Universities and How We Can Fix Them</w:t>
      </w:r>
      <w:r>
        <w:t xml:space="preserve"> (Baltimore: Johns Hopkins University Press, 2018).</w:t>
      </w:r>
    </w:p>
  </w:endnote>
  <w:endnote w:id="6">
    <w:p w:rsidR="0006783D" w:rsidRPr="00FB0147" w:rsidRDefault="0006783D">
      <w:pPr>
        <w:pStyle w:val="EndnoteText"/>
      </w:pPr>
      <w:r>
        <w:rPr>
          <w:rStyle w:val="EndnoteReference"/>
        </w:rPr>
        <w:endnoteRef/>
      </w:r>
      <w:r>
        <w:t xml:space="preserve"> See </w:t>
      </w:r>
      <w:r w:rsidRPr="00FB0147">
        <w:t>Mary L. Mullen</w:t>
      </w:r>
      <w:r>
        <w:t>, “</w:t>
      </w:r>
      <w:r w:rsidRPr="00FB0147">
        <w:t>Public Humanities' (Victorian) Culture Problem</w:t>
      </w:r>
      <w:r>
        <w:t xml:space="preserve">,” </w:t>
      </w:r>
      <w:r>
        <w:rPr>
          <w:i/>
        </w:rPr>
        <w:t>Cultural Studies</w:t>
      </w:r>
      <w:r>
        <w:t xml:space="preserve"> 30.2 (2016): 183-204. </w:t>
      </w:r>
    </w:p>
  </w:endnote>
  <w:endnote w:id="7">
    <w:p w:rsidR="0006783D" w:rsidRDefault="0006783D">
      <w:pPr>
        <w:pStyle w:val="EndnoteText"/>
      </w:pPr>
      <w:r>
        <w:rPr>
          <w:rStyle w:val="EndnoteReference"/>
        </w:rPr>
        <w:endnoteRef/>
      </w:r>
      <w:r>
        <w:t xml:space="preserve"> See </w:t>
      </w:r>
      <w:r w:rsidRPr="00FB0147">
        <w:rPr>
          <w:i/>
        </w:rPr>
        <w:t>Doing Public Humanities</w:t>
      </w:r>
      <w:r>
        <w:t xml:space="preserve">, ed. </w:t>
      </w:r>
      <w:r w:rsidRPr="00FB0147">
        <w:t xml:space="preserve">Susan </w:t>
      </w:r>
      <w:proofErr w:type="spellStart"/>
      <w:r w:rsidRPr="00FB0147">
        <w:t>Smulyan</w:t>
      </w:r>
      <w:proofErr w:type="spellEnd"/>
      <w:r>
        <w:t xml:space="preserve"> (New York: Routledge, 2020). </w:t>
      </w:r>
    </w:p>
  </w:endnote>
  <w:endnote w:id="8">
    <w:p w:rsidR="0006783D" w:rsidRPr="004E26F8" w:rsidRDefault="0006783D">
      <w:pPr>
        <w:pStyle w:val="EndnoteText"/>
      </w:pPr>
      <w:r>
        <w:rPr>
          <w:rStyle w:val="EndnoteReference"/>
        </w:rPr>
        <w:endnoteRef/>
      </w:r>
      <w:r>
        <w:t xml:space="preserve"> Ruben Espinosa, “</w:t>
      </w:r>
      <w:r w:rsidRPr="004E26F8">
        <w:t>Stranger Shakespeare</w:t>
      </w:r>
      <w:r>
        <w:t xml:space="preserve">,” </w:t>
      </w:r>
      <w:r>
        <w:rPr>
          <w:i/>
        </w:rPr>
        <w:t>Shakespeare Quarterly</w:t>
      </w:r>
      <w:r>
        <w:t xml:space="preserve"> 67.1 (2016), 52. </w:t>
      </w:r>
    </w:p>
  </w:endnote>
  <w:endnote w:id="9">
    <w:p w:rsidR="0006783D" w:rsidRPr="004E26F8" w:rsidRDefault="0006783D">
      <w:pPr>
        <w:pStyle w:val="EndnoteText"/>
      </w:pPr>
      <w:r>
        <w:rPr>
          <w:rStyle w:val="EndnoteReference"/>
        </w:rPr>
        <w:endnoteRef/>
      </w:r>
      <w:r>
        <w:t xml:space="preserve"> See </w:t>
      </w:r>
      <w:r w:rsidRPr="00F905E9">
        <w:rPr>
          <w:i/>
        </w:rPr>
        <w:t>Teaching Social Justice Through Shakespeare</w:t>
      </w:r>
      <w:r>
        <w:t>,</w:t>
      </w:r>
      <w:r>
        <w:rPr>
          <w:i/>
        </w:rPr>
        <w:t xml:space="preserve"> </w:t>
      </w:r>
      <w:r>
        <w:t xml:space="preserve">ed. </w:t>
      </w:r>
      <w:r w:rsidRPr="00F905E9">
        <w:t xml:space="preserve">Eklund </w:t>
      </w:r>
      <w:r>
        <w:t xml:space="preserve">and </w:t>
      </w:r>
      <w:r w:rsidRPr="00F905E9">
        <w:t>Hyman</w:t>
      </w:r>
      <w:r>
        <w:t xml:space="preserve">; </w:t>
      </w:r>
      <w:r w:rsidRPr="004E26F8">
        <w:t>Peter Erickson and Kim F. Hall</w:t>
      </w:r>
      <w:r>
        <w:t>, “‘</w:t>
      </w:r>
      <w:r w:rsidRPr="004E26F8">
        <w:t>A New Scholarly Song</w:t>
      </w:r>
      <w:r>
        <w:t>’</w:t>
      </w:r>
      <w:r w:rsidRPr="004E26F8">
        <w:t>: Rereading Early Modern Race</w:t>
      </w:r>
      <w:r>
        <w:t xml:space="preserve">,” </w:t>
      </w:r>
      <w:r>
        <w:rPr>
          <w:i/>
        </w:rPr>
        <w:t>Shakespeare Quarterly</w:t>
      </w:r>
      <w:r>
        <w:t xml:space="preserve"> 67.1 (2016), 1.</w:t>
      </w:r>
    </w:p>
  </w:endnote>
  <w:endnote w:id="10">
    <w:p w:rsidR="0006783D" w:rsidRPr="004E26F8" w:rsidRDefault="0006783D">
      <w:pPr>
        <w:pStyle w:val="EndnoteText"/>
      </w:pPr>
      <w:r>
        <w:rPr>
          <w:rStyle w:val="EndnoteReference"/>
        </w:rPr>
        <w:endnoteRef/>
      </w:r>
      <w:r>
        <w:t xml:space="preserve"> </w:t>
      </w:r>
      <w:r w:rsidRPr="004E26F8">
        <w:t>RaceB4Race Executive Board</w:t>
      </w:r>
      <w:r>
        <w:t>, “</w:t>
      </w:r>
      <w:r w:rsidRPr="004E26F8">
        <w:t>It’s Time to End the Publishing Gatekeeping!</w:t>
      </w:r>
      <w:r>
        <w:t xml:space="preserve">” </w:t>
      </w:r>
      <w:r>
        <w:rPr>
          <w:i/>
        </w:rPr>
        <w:t>The Sundial</w:t>
      </w:r>
      <w:r>
        <w:t xml:space="preserve"> (June 11, 2020).</w:t>
      </w:r>
    </w:p>
  </w:endnote>
  <w:endnote w:id="11">
    <w:p w:rsidR="0006783D" w:rsidRDefault="0006783D" w:rsidP="004E26F8">
      <w:pPr>
        <w:pStyle w:val="EndnoteText"/>
      </w:pPr>
      <w:r>
        <w:rPr>
          <w:rStyle w:val="EndnoteReference"/>
        </w:rPr>
        <w:endnoteRef/>
      </w:r>
      <w:r>
        <w:t xml:space="preserve"> See </w:t>
      </w:r>
      <w:r w:rsidRPr="004E26F8">
        <w:rPr>
          <w:i/>
        </w:rPr>
        <w:t>Shakespeare and the 99%</w:t>
      </w:r>
      <w:r w:rsidRPr="004E26F8">
        <w:rPr>
          <w:i/>
        </w:rPr>
        <w:t xml:space="preserve">: </w:t>
      </w:r>
      <w:r w:rsidRPr="004E26F8">
        <w:rPr>
          <w:i/>
        </w:rPr>
        <w:t>Literary Studies, the Profession, and the Production of Inequity</w:t>
      </w:r>
      <w:r>
        <w:t xml:space="preserve">, ed. </w:t>
      </w:r>
      <w:r w:rsidRPr="004E26F8">
        <w:t>Sharon</w:t>
      </w:r>
      <w:r>
        <w:t xml:space="preserve"> </w:t>
      </w:r>
      <w:proofErr w:type="spellStart"/>
      <w:r w:rsidRPr="004E26F8">
        <w:t>O'Dair</w:t>
      </w:r>
      <w:proofErr w:type="spellEnd"/>
      <w:r>
        <w:t xml:space="preserve"> and</w:t>
      </w:r>
      <w:r w:rsidRPr="004E26F8">
        <w:t xml:space="preserve"> </w:t>
      </w:r>
      <w:r w:rsidRPr="004E26F8">
        <w:t>Timothy</w:t>
      </w:r>
      <w:r w:rsidRPr="004E26F8">
        <w:t xml:space="preserve"> Francisco</w:t>
      </w:r>
      <w:r>
        <w:t xml:space="preserve"> (New York: Palgrave Macmillan, 2019). </w:t>
      </w:r>
    </w:p>
  </w:endnote>
  <w:endnote w:id="12">
    <w:p w:rsidR="0006783D" w:rsidRDefault="0006783D">
      <w:pPr>
        <w:pStyle w:val="EndnoteText"/>
      </w:pPr>
      <w:r>
        <w:rPr>
          <w:rStyle w:val="EndnoteReference"/>
        </w:rPr>
        <w:endnoteRef/>
      </w:r>
      <w:r>
        <w:t xml:space="preserve"> See </w:t>
      </w:r>
      <w:r w:rsidRPr="00EF3186">
        <w:t>Pierre Bourdieu</w:t>
      </w:r>
      <w:r>
        <w:t>,</w:t>
      </w:r>
      <w:r w:rsidRPr="00EF3186">
        <w:t xml:space="preserve"> </w:t>
      </w:r>
      <w:r w:rsidRPr="00EF3186">
        <w:rPr>
          <w:i/>
        </w:rPr>
        <w:t xml:space="preserve">Homo </w:t>
      </w:r>
      <w:proofErr w:type="spellStart"/>
      <w:r w:rsidRPr="00EF3186">
        <w:rPr>
          <w:i/>
        </w:rPr>
        <w:t>Academicus</w:t>
      </w:r>
      <w:proofErr w:type="spellEnd"/>
      <w:r>
        <w:t xml:space="preserve">, trans. Peter Collier (Palo Alto: Stanford University Press, 1988). </w:t>
      </w:r>
    </w:p>
  </w:endnote>
  <w:endnote w:id="13">
    <w:p w:rsidR="0006783D" w:rsidRDefault="0006783D">
      <w:pPr>
        <w:pStyle w:val="EndnoteText"/>
      </w:pPr>
      <w:r>
        <w:rPr>
          <w:rStyle w:val="EndnoteReference"/>
        </w:rPr>
        <w:endnoteRef/>
      </w:r>
      <w:r>
        <w:t xml:space="preserve"> Troy Heffernan, “‘</w:t>
      </w:r>
      <w:r w:rsidRPr="00EF3186">
        <w:t>There’s No Career in Academia Without Networks</w:t>
      </w:r>
      <w:r>
        <w:t>’</w:t>
      </w:r>
      <w:r w:rsidRPr="00EF3186">
        <w:t>: Academic Networks and Career Trajectory</w:t>
      </w:r>
      <w:r>
        <w:t>,”</w:t>
      </w:r>
      <w:r w:rsidRPr="00EF3186">
        <w:t xml:space="preserve"> </w:t>
      </w:r>
      <w:r w:rsidRPr="00EF3186">
        <w:rPr>
          <w:i/>
        </w:rPr>
        <w:t>Higher Education Research and Development</w:t>
      </w:r>
      <w:r>
        <w:t xml:space="preserve">, online before print (2020): </w:t>
      </w:r>
      <w:r w:rsidRPr="00EF3186">
        <w:t>https://doi.org/10.1080/07294360.2020.1799948</w:t>
      </w:r>
      <w:r>
        <w:t>.</w:t>
      </w:r>
    </w:p>
  </w:endnote>
  <w:endnote w:id="14">
    <w:p w:rsidR="00D63AC7" w:rsidRDefault="00D63AC7">
      <w:pPr>
        <w:pStyle w:val="EndnoteText"/>
      </w:pPr>
      <w:r>
        <w:rPr>
          <w:rStyle w:val="EndnoteReference"/>
        </w:rPr>
        <w:endnoteRef/>
      </w:r>
      <w:r>
        <w:t xml:space="preserve"> </w:t>
      </w:r>
      <w:r w:rsidRPr="00D63AC7">
        <w:t xml:space="preserve">Imagine, in the years ahead, when news breaks on climate change, and everyone is talking about it, a social media account pointing people to Steve Mentz’s </w:t>
      </w:r>
      <w:r w:rsidRPr="00D63AC7">
        <w:rPr>
          <w:i/>
        </w:rPr>
        <w:t>At the Bottom of Shakespeare’s Ocean</w:t>
      </w:r>
      <w:r w:rsidRPr="00D63AC7">
        <w:t xml:space="preserve">; </w:t>
      </w:r>
      <w:r w:rsidRPr="00D63AC7">
        <w:t xml:space="preserve">on trans rights, to Sawyer Kemp’s "Shakespeare and Transition: Pedagogies of Transgender Justice and Performance”; </w:t>
      </w:r>
      <w:r w:rsidRPr="00D63AC7">
        <w:t xml:space="preserve">on education equity, to Sarah Olive’s </w:t>
      </w:r>
      <w:r w:rsidRPr="00D63AC7">
        <w:rPr>
          <w:i/>
        </w:rPr>
        <w:t>Shakespeare Valued:: Education Policy and Pedagogy 1989-2009</w:t>
      </w:r>
      <w:r w:rsidRPr="00D63AC7">
        <w:t xml:space="preserve">; on racial literacy, to Ian Smith’s "Othello's Black Handkerchief”; on fair tax codes, to David </w:t>
      </w:r>
      <w:proofErr w:type="spellStart"/>
      <w:r w:rsidRPr="00D63AC7">
        <w:t>Glimp’s</w:t>
      </w:r>
      <w:proofErr w:type="spellEnd"/>
      <w:r w:rsidRPr="00D63AC7">
        <w:t xml:space="preserve"> "Sovereignty after Taxes in Shakespeare's History Plays”; on gender inequality in the workplace, to Lara </w:t>
      </w:r>
      <w:proofErr w:type="spellStart"/>
      <w:r w:rsidRPr="00D63AC7">
        <w:t>Dodds</w:t>
      </w:r>
      <w:proofErr w:type="spellEnd"/>
      <w:r w:rsidRPr="00D63AC7">
        <w:t xml:space="preserve"> and Michelle M. Dowd’s "Happy Accidents: Critical Belatedness, Feminist Formalism, and Early Modern Women's Writing”; on food security, to Lauren Shook’s "Cursing Coriolanus and Combating </w:t>
      </w:r>
      <w:proofErr w:type="spellStart"/>
      <w:r w:rsidRPr="00D63AC7">
        <w:t>Cornhoarders</w:t>
      </w:r>
      <w:proofErr w:type="spellEnd"/>
      <w:r w:rsidRPr="00D63AC7">
        <w:t xml:space="preserve">”; on artificial intelligence, to Todd Andrew </w:t>
      </w:r>
      <w:proofErr w:type="spellStart"/>
      <w:r w:rsidRPr="00D63AC7">
        <w:t>Borlik’s</w:t>
      </w:r>
      <w:proofErr w:type="spellEnd"/>
      <w:r w:rsidRPr="00D63AC7">
        <w:t xml:space="preserve"> “‘More than Art’: Clockwork Automata, the Extemporizing Actor, and the Brazen Head in </w:t>
      </w:r>
      <w:r w:rsidRPr="00D63AC7">
        <w:rPr>
          <w:i/>
        </w:rPr>
        <w:t>Friar Bacon and Friar Bungay</w:t>
      </w:r>
      <w:r w:rsidRPr="00D63AC7">
        <w:t xml:space="preserve">”; </w:t>
      </w:r>
      <w:r w:rsidRPr="00D63AC7">
        <w:t xml:space="preserve">on Meghan Markle, to Mira Assaf </w:t>
      </w:r>
      <w:proofErr w:type="spellStart"/>
      <w:r w:rsidRPr="00D63AC7">
        <w:t>Kafantaris’s</w:t>
      </w:r>
      <w:proofErr w:type="spellEnd"/>
      <w:r w:rsidRPr="00D63AC7">
        <w:t xml:space="preserve"> "Katherine of Aragon, Protestant Purity, and the Anxieties of Cultural Mixing in Shakespeare and Fletcher's </w:t>
      </w:r>
      <w:r w:rsidRPr="00D63AC7">
        <w:rPr>
          <w:i/>
        </w:rPr>
        <w:t>Henry VIII</w:t>
      </w:r>
      <w:r w:rsidRPr="00D63AC7">
        <w:t xml:space="preserve">”; </w:t>
      </w:r>
      <w:r w:rsidRPr="00D63AC7">
        <w:t xml:space="preserve">on big data, to Hugh Craig and Brett Greatly-Hirsch’s </w:t>
      </w:r>
      <w:r w:rsidRPr="00D63AC7">
        <w:rPr>
          <w:i/>
        </w:rPr>
        <w:t>Style, Computers, and Early Modern Drama: Beyond Authorship</w:t>
      </w:r>
      <w:r w:rsidRPr="00D63AC7">
        <w:t xml:space="preserve">; on globalization, to Alexa Alice </w:t>
      </w:r>
      <w:proofErr w:type="spellStart"/>
      <w:r w:rsidRPr="00D63AC7">
        <w:t>Joubin’s</w:t>
      </w:r>
      <w:proofErr w:type="spellEnd"/>
      <w:r w:rsidRPr="00D63AC7">
        <w:t xml:space="preserve"> “'What Country, Friends, Is This?': Touring </w:t>
      </w:r>
      <w:proofErr w:type="spellStart"/>
      <w:r w:rsidRPr="00D63AC7">
        <w:t>Shakespeares</w:t>
      </w:r>
      <w:proofErr w:type="spellEnd"/>
      <w:r w:rsidRPr="00D63AC7">
        <w:t xml:space="preserve">, Agency, and Efficacy in Theatre Historiography”; on immigration, to Ruben Espinosa’s "Chicano Shakespeare: The Bard, the Border, and the Peripheries of Performance”; on debt relief, to Laura Kolb’s "Debt's Poetry in </w:t>
      </w:r>
      <w:r w:rsidRPr="00D63AC7">
        <w:rPr>
          <w:i/>
        </w:rPr>
        <w:t>Timon of Athens</w:t>
      </w:r>
      <w:r w:rsidRPr="00D63AC7">
        <w:t xml:space="preserve">”; </w:t>
      </w:r>
      <w:r w:rsidRPr="00D63AC7">
        <w:t>on social media literacy, to Nora J. Williams’s "@Shakespeare and @</w:t>
      </w:r>
      <w:proofErr w:type="spellStart"/>
      <w:r w:rsidRPr="00D63AC7">
        <w:t>TwasFletcher</w:t>
      </w:r>
      <w:proofErr w:type="spellEnd"/>
      <w:r w:rsidRPr="00D63AC7">
        <w:t xml:space="preserve">: Performances of Authority”; </w:t>
      </w:r>
      <w:r w:rsidRPr="00D63AC7">
        <w:t xml:space="preserve">on racial justice, to David Sterling Brown’s “'Is Black so Base a Hue?': Black Life Matters in Shakespeare's </w:t>
      </w:r>
      <w:r w:rsidRPr="00D63AC7">
        <w:rPr>
          <w:i/>
        </w:rPr>
        <w:t>Titus Andronicus</w:t>
      </w:r>
      <w:r w:rsidRPr="00D63AC7">
        <w:t xml:space="preserve">”; on income inequality, to Chris Fitter's “'So Distribution Should Undo Excess’: Recovering the Political Pressure of Distributive and Egalitarian Discourses in Shakespeare's </w:t>
      </w:r>
      <w:r w:rsidRPr="00D63AC7">
        <w:rPr>
          <w:i/>
        </w:rPr>
        <w:t>King Lear</w:t>
      </w:r>
      <w:r w:rsidRPr="00D63AC7">
        <w:t xml:space="preserve"> and Early Modern England”; </w:t>
      </w:r>
      <w:r w:rsidRPr="00D63AC7">
        <w:t xml:space="preserve">on pop culture fandoms, to Kavita </w:t>
      </w:r>
      <w:proofErr w:type="spellStart"/>
      <w:r w:rsidRPr="00D63AC7">
        <w:t>Mudan</w:t>
      </w:r>
      <w:proofErr w:type="spellEnd"/>
      <w:r w:rsidRPr="00D63AC7">
        <w:t xml:space="preserve"> Finn’s "History Play: Critical and Creative Engagement with Shakespeare's Tetralogies in Transformative </w:t>
      </w:r>
      <w:proofErr w:type="spellStart"/>
      <w:r w:rsidRPr="00D63AC7">
        <w:t>Fanworks</w:t>
      </w:r>
      <w:proofErr w:type="spellEnd"/>
      <w:r w:rsidRPr="00D63AC7">
        <w:t xml:space="preserve">”; </w:t>
      </w:r>
      <w:r>
        <w:t xml:space="preserve">on </w:t>
      </w:r>
      <w:r w:rsidRPr="00D63AC7">
        <w:t xml:space="preserve">youth mental health, to Justin Shaw's “‘Rub Him About the Temples’: </w:t>
      </w:r>
      <w:r w:rsidRPr="00D63AC7">
        <w:rPr>
          <w:i/>
        </w:rPr>
        <w:t>Othello</w:t>
      </w:r>
      <w:r w:rsidRPr="00D63AC7">
        <w:t xml:space="preserve">, Disability, and the Failures of Care”; or on retiring baby boomers, to Matthew </w:t>
      </w:r>
      <w:proofErr w:type="spellStart"/>
      <w:r w:rsidRPr="00D63AC7">
        <w:t>Harkins's</w:t>
      </w:r>
      <w:proofErr w:type="spellEnd"/>
      <w:r w:rsidRPr="00D63AC7">
        <w:t xml:space="preserve"> “The Politics of Old Age in Shakespeare’s </w:t>
      </w:r>
      <w:r w:rsidRPr="00D63AC7">
        <w:rPr>
          <w:i/>
        </w:rPr>
        <w:t>King Lear</w:t>
      </w:r>
      <w:r w:rsidRPr="00D63AC7">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7FA" w:rsidRDefault="00E467FA" w:rsidP="00D07B15">
      <w:r>
        <w:separator/>
      </w:r>
    </w:p>
  </w:footnote>
  <w:footnote w:type="continuationSeparator" w:id="0">
    <w:p w:rsidR="00E467FA" w:rsidRDefault="00E467FA" w:rsidP="00D07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12FB"/>
    <w:multiLevelType w:val="multilevel"/>
    <w:tmpl w:val="B29C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B5871"/>
    <w:multiLevelType w:val="hybridMultilevel"/>
    <w:tmpl w:val="556A1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1737C"/>
    <w:multiLevelType w:val="hybridMultilevel"/>
    <w:tmpl w:val="38988556"/>
    <w:lvl w:ilvl="0" w:tplc="1D7807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44B44"/>
    <w:multiLevelType w:val="hybridMultilevel"/>
    <w:tmpl w:val="843A0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214CF1"/>
    <w:multiLevelType w:val="multilevel"/>
    <w:tmpl w:val="0B00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3F47C4"/>
    <w:multiLevelType w:val="hybridMultilevel"/>
    <w:tmpl w:val="EFFC1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7D1C2C"/>
    <w:multiLevelType w:val="hybridMultilevel"/>
    <w:tmpl w:val="E7BE0912"/>
    <w:lvl w:ilvl="0" w:tplc="1D7807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31"/>
    <w:rsid w:val="00022098"/>
    <w:rsid w:val="0006783D"/>
    <w:rsid w:val="000A6B12"/>
    <w:rsid w:val="00320763"/>
    <w:rsid w:val="004706F0"/>
    <w:rsid w:val="004E26F8"/>
    <w:rsid w:val="00574931"/>
    <w:rsid w:val="00775D12"/>
    <w:rsid w:val="00844849"/>
    <w:rsid w:val="008D084E"/>
    <w:rsid w:val="0090239E"/>
    <w:rsid w:val="00913498"/>
    <w:rsid w:val="00AA417B"/>
    <w:rsid w:val="00D07B15"/>
    <w:rsid w:val="00D63AC7"/>
    <w:rsid w:val="00E467FA"/>
    <w:rsid w:val="00EF3186"/>
    <w:rsid w:val="00F0146F"/>
    <w:rsid w:val="00F47491"/>
    <w:rsid w:val="00F905E9"/>
    <w:rsid w:val="00F93AF4"/>
    <w:rsid w:val="00FB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E93F39D"/>
  <w15:chartTrackingRefBased/>
  <w15:docId w15:val="{63241A68-9D40-504C-9148-5405BD17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74931"/>
  </w:style>
  <w:style w:type="paragraph" w:styleId="ListParagraph">
    <w:name w:val="List Paragraph"/>
    <w:basedOn w:val="Normal"/>
    <w:uiPriority w:val="34"/>
    <w:qFormat/>
    <w:rsid w:val="00F47491"/>
    <w:pPr>
      <w:ind w:left="720"/>
      <w:contextualSpacing/>
    </w:pPr>
  </w:style>
  <w:style w:type="paragraph" w:styleId="FootnoteText">
    <w:name w:val="footnote text"/>
    <w:basedOn w:val="Normal"/>
    <w:link w:val="FootnoteTextChar"/>
    <w:uiPriority w:val="99"/>
    <w:semiHidden/>
    <w:unhideWhenUsed/>
    <w:rsid w:val="00D07B15"/>
    <w:rPr>
      <w:sz w:val="20"/>
      <w:szCs w:val="20"/>
    </w:rPr>
  </w:style>
  <w:style w:type="character" w:customStyle="1" w:styleId="FootnoteTextChar">
    <w:name w:val="Footnote Text Char"/>
    <w:basedOn w:val="DefaultParagraphFont"/>
    <w:link w:val="FootnoteText"/>
    <w:uiPriority w:val="99"/>
    <w:semiHidden/>
    <w:rsid w:val="00D07B15"/>
    <w:rPr>
      <w:sz w:val="20"/>
      <w:szCs w:val="20"/>
    </w:rPr>
  </w:style>
  <w:style w:type="character" w:styleId="FootnoteReference">
    <w:name w:val="footnote reference"/>
    <w:basedOn w:val="DefaultParagraphFont"/>
    <w:uiPriority w:val="99"/>
    <w:semiHidden/>
    <w:unhideWhenUsed/>
    <w:rsid w:val="00D07B15"/>
    <w:rPr>
      <w:vertAlign w:val="superscript"/>
    </w:rPr>
  </w:style>
  <w:style w:type="paragraph" w:styleId="EndnoteText">
    <w:name w:val="endnote text"/>
    <w:basedOn w:val="Normal"/>
    <w:link w:val="EndnoteTextChar"/>
    <w:uiPriority w:val="99"/>
    <w:semiHidden/>
    <w:unhideWhenUsed/>
    <w:rsid w:val="0006783D"/>
    <w:rPr>
      <w:sz w:val="20"/>
      <w:szCs w:val="20"/>
    </w:rPr>
  </w:style>
  <w:style w:type="character" w:customStyle="1" w:styleId="EndnoteTextChar">
    <w:name w:val="Endnote Text Char"/>
    <w:basedOn w:val="DefaultParagraphFont"/>
    <w:link w:val="EndnoteText"/>
    <w:uiPriority w:val="99"/>
    <w:semiHidden/>
    <w:rsid w:val="0006783D"/>
    <w:rPr>
      <w:sz w:val="20"/>
      <w:szCs w:val="20"/>
    </w:rPr>
  </w:style>
  <w:style w:type="character" w:styleId="EndnoteReference">
    <w:name w:val="endnote reference"/>
    <w:basedOn w:val="DefaultParagraphFont"/>
    <w:uiPriority w:val="99"/>
    <w:semiHidden/>
    <w:unhideWhenUsed/>
    <w:rsid w:val="000678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118289">
      <w:bodyDiv w:val="1"/>
      <w:marLeft w:val="0"/>
      <w:marRight w:val="0"/>
      <w:marTop w:val="0"/>
      <w:marBottom w:val="0"/>
      <w:divBdr>
        <w:top w:val="none" w:sz="0" w:space="0" w:color="auto"/>
        <w:left w:val="none" w:sz="0" w:space="0" w:color="auto"/>
        <w:bottom w:val="none" w:sz="0" w:space="0" w:color="auto"/>
        <w:right w:val="none" w:sz="0" w:space="0" w:color="auto"/>
      </w:divBdr>
      <w:divsChild>
        <w:div w:id="1355493125">
          <w:marLeft w:val="0"/>
          <w:marRight w:val="0"/>
          <w:marTop w:val="0"/>
          <w:marBottom w:val="0"/>
          <w:divBdr>
            <w:top w:val="none" w:sz="0" w:space="0" w:color="auto"/>
            <w:left w:val="none" w:sz="0" w:space="0" w:color="auto"/>
            <w:bottom w:val="none" w:sz="0" w:space="0" w:color="auto"/>
            <w:right w:val="none" w:sz="0" w:space="0" w:color="auto"/>
          </w:divBdr>
        </w:div>
        <w:div w:id="1620910398">
          <w:marLeft w:val="0"/>
          <w:marRight w:val="0"/>
          <w:marTop w:val="0"/>
          <w:marBottom w:val="0"/>
          <w:divBdr>
            <w:top w:val="none" w:sz="0" w:space="0" w:color="auto"/>
            <w:left w:val="none" w:sz="0" w:space="0" w:color="auto"/>
            <w:bottom w:val="none" w:sz="0" w:space="0" w:color="auto"/>
            <w:right w:val="none" w:sz="0" w:space="0" w:color="auto"/>
          </w:divBdr>
        </w:div>
        <w:div w:id="1420980250">
          <w:marLeft w:val="0"/>
          <w:marRight w:val="0"/>
          <w:marTop w:val="0"/>
          <w:marBottom w:val="0"/>
          <w:divBdr>
            <w:top w:val="none" w:sz="0" w:space="0" w:color="auto"/>
            <w:left w:val="none" w:sz="0" w:space="0" w:color="auto"/>
            <w:bottom w:val="none" w:sz="0" w:space="0" w:color="auto"/>
            <w:right w:val="none" w:sz="0" w:space="0" w:color="auto"/>
          </w:divBdr>
        </w:div>
        <w:div w:id="1014461198">
          <w:marLeft w:val="0"/>
          <w:marRight w:val="0"/>
          <w:marTop w:val="0"/>
          <w:marBottom w:val="0"/>
          <w:divBdr>
            <w:top w:val="none" w:sz="0" w:space="0" w:color="auto"/>
            <w:left w:val="none" w:sz="0" w:space="0" w:color="auto"/>
            <w:bottom w:val="none" w:sz="0" w:space="0" w:color="auto"/>
            <w:right w:val="none" w:sz="0" w:space="0" w:color="auto"/>
          </w:divBdr>
        </w:div>
        <w:div w:id="1080567855">
          <w:marLeft w:val="0"/>
          <w:marRight w:val="0"/>
          <w:marTop w:val="0"/>
          <w:marBottom w:val="0"/>
          <w:divBdr>
            <w:top w:val="none" w:sz="0" w:space="0" w:color="auto"/>
            <w:left w:val="none" w:sz="0" w:space="0" w:color="auto"/>
            <w:bottom w:val="none" w:sz="0" w:space="0" w:color="auto"/>
            <w:right w:val="none" w:sz="0" w:space="0" w:color="auto"/>
          </w:divBdr>
          <w:divsChild>
            <w:div w:id="2108889848">
              <w:marLeft w:val="0"/>
              <w:marRight w:val="0"/>
              <w:marTop w:val="0"/>
              <w:marBottom w:val="0"/>
              <w:divBdr>
                <w:top w:val="none" w:sz="0" w:space="0" w:color="auto"/>
                <w:left w:val="none" w:sz="0" w:space="0" w:color="auto"/>
                <w:bottom w:val="none" w:sz="0" w:space="0" w:color="auto"/>
                <w:right w:val="none" w:sz="0" w:space="0" w:color="auto"/>
              </w:divBdr>
            </w:div>
            <w:div w:id="660741356">
              <w:marLeft w:val="0"/>
              <w:marRight w:val="0"/>
              <w:marTop w:val="0"/>
              <w:marBottom w:val="0"/>
              <w:divBdr>
                <w:top w:val="none" w:sz="0" w:space="0" w:color="auto"/>
                <w:left w:val="none" w:sz="0" w:space="0" w:color="auto"/>
                <w:bottom w:val="none" w:sz="0" w:space="0" w:color="auto"/>
                <w:right w:val="none" w:sz="0" w:space="0" w:color="auto"/>
              </w:divBdr>
            </w:div>
            <w:div w:id="126313939">
              <w:marLeft w:val="0"/>
              <w:marRight w:val="0"/>
              <w:marTop w:val="0"/>
              <w:marBottom w:val="0"/>
              <w:divBdr>
                <w:top w:val="none" w:sz="0" w:space="0" w:color="auto"/>
                <w:left w:val="none" w:sz="0" w:space="0" w:color="auto"/>
                <w:bottom w:val="none" w:sz="0" w:space="0" w:color="auto"/>
                <w:right w:val="none" w:sz="0" w:space="0" w:color="auto"/>
              </w:divBdr>
            </w:div>
            <w:div w:id="1696805721">
              <w:marLeft w:val="0"/>
              <w:marRight w:val="0"/>
              <w:marTop w:val="0"/>
              <w:marBottom w:val="0"/>
              <w:divBdr>
                <w:top w:val="none" w:sz="0" w:space="0" w:color="auto"/>
                <w:left w:val="none" w:sz="0" w:space="0" w:color="auto"/>
                <w:bottom w:val="none" w:sz="0" w:space="0" w:color="auto"/>
                <w:right w:val="none" w:sz="0" w:space="0" w:color="auto"/>
              </w:divBdr>
            </w:div>
            <w:div w:id="1910461170">
              <w:marLeft w:val="0"/>
              <w:marRight w:val="0"/>
              <w:marTop w:val="0"/>
              <w:marBottom w:val="0"/>
              <w:divBdr>
                <w:top w:val="none" w:sz="0" w:space="0" w:color="auto"/>
                <w:left w:val="none" w:sz="0" w:space="0" w:color="auto"/>
                <w:bottom w:val="none" w:sz="0" w:space="0" w:color="auto"/>
                <w:right w:val="none" w:sz="0" w:space="0" w:color="auto"/>
              </w:divBdr>
            </w:div>
            <w:div w:id="830682815">
              <w:marLeft w:val="0"/>
              <w:marRight w:val="0"/>
              <w:marTop w:val="0"/>
              <w:marBottom w:val="0"/>
              <w:divBdr>
                <w:top w:val="none" w:sz="0" w:space="0" w:color="auto"/>
                <w:left w:val="none" w:sz="0" w:space="0" w:color="auto"/>
                <w:bottom w:val="none" w:sz="0" w:space="0" w:color="auto"/>
                <w:right w:val="none" w:sz="0" w:space="0" w:color="auto"/>
              </w:divBdr>
            </w:div>
            <w:div w:id="1551765172">
              <w:marLeft w:val="0"/>
              <w:marRight w:val="0"/>
              <w:marTop w:val="0"/>
              <w:marBottom w:val="0"/>
              <w:divBdr>
                <w:top w:val="none" w:sz="0" w:space="0" w:color="auto"/>
                <w:left w:val="none" w:sz="0" w:space="0" w:color="auto"/>
                <w:bottom w:val="none" w:sz="0" w:space="0" w:color="auto"/>
                <w:right w:val="none" w:sz="0" w:space="0" w:color="auto"/>
              </w:divBdr>
            </w:div>
            <w:div w:id="760641814">
              <w:marLeft w:val="0"/>
              <w:marRight w:val="0"/>
              <w:marTop w:val="0"/>
              <w:marBottom w:val="0"/>
              <w:divBdr>
                <w:top w:val="none" w:sz="0" w:space="0" w:color="auto"/>
                <w:left w:val="none" w:sz="0" w:space="0" w:color="auto"/>
                <w:bottom w:val="none" w:sz="0" w:space="0" w:color="auto"/>
                <w:right w:val="none" w:sz="0" w:space="0" w:color="auto"/>
              </w:divBdr>
            </w:div>
            <w:div w:id="19495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4514">
      <w:bodyDiv w:val="1"/>
      <w:marLeft w:val="0"/>
      <w:marRight w:val="0"/>
      <w:marTop w:val="0"/>
      <w:marBottom w:val="0"/>
      <w:divBdr>
        <w:top w:val="none" w:sz="0" w:space="0" w:color="auto"/>
        <w:left w:val="none" w:sz="0" w:space="0" w:color="auto"/>
        <w:bottom w:val="none" w:sz="0" w:space="0" w:color="auto"/>
        <w:right w:val="none" w:sz="0" w:space="0" w:color="auto"/>
      </w:divBdr>
      <w:divsChild>
        <w:div w:id="556479023">
          <w:marLeft w:val="0"/>
          <w:marRight w:val="0"/>
          <w:marTop w:val="0"/>
          <w:marBottom w:val="0"/>
          <w:divBdr>
            <w:top w:val="none" w:sz="0" w:space="0" w:color="auto"/>
            <w:left w:val="none" w:sz="0" w:space="0" w:color="auto"/>
            <w:bottom w:val="none" w:sz="0" w:space="0" w:color="auto"/>
            <w:right w:val="none" w:sz="0" w:space="0" w:color="auto"/>
          </w:divBdr>
        </w:div>
        <w:div w:id="1528173974">
          <w:marLeft w:val="0"/>
          <w:marRight w:val="0"/>
          <w:marTop w:val="0"/>
          <w:marBottom w:val="0"/>
          <w:divBdr>
            <w:top w:val="none" w:sz="0" w:space="0" w:color="auto"/>
            <w:left w:val="none" w:sz="0" w:space="0" w:color="auto"/>
            <w:bottom w:val="none" w:sz="0" w:space="0" w:color="auto"/>
            <w:right w:val="none" w:sz="0" w:space="0" w:color="auto"/>
          </w:divBdr>
        </w:div>
        <w:div w:id="706486986">
          <w:marLeft w:val="0"/>
          <w:marRight w:val="0"/>
          <w:marTop w:val="0"/>
          <w:marBottom w:val="0"/>
          <w:divBdr>
            <w:top w:val="none" w:sz="0" w:space="0" w:color="auto"/>
            <w:left w:val="none" w:sz="0" w:space="0" w:color="auto"/>
            <w:bottom w:val="none" w:sz="0" w:space="0" w:color="auto"/>
            <w:right w:val="none" w:sz="0" w:space="0" w:color="auto"/>
          </w:divBdr>
        </w:div>
        <w:div w:id="948583311">
          <w:marLeft w:val="0"/>
          <w:marRight w:val="0"/>
          <w:marTop w:val="0"/>
          <w:marBottom w:val="0"/>
          <w:divBdr>
            <w:top w:val="none" w:sz="0" w:space="0" w:color="auto"/>
            <w:left w:val="none" w:sz="0" w:space="0" w:color="auto"/>
            <w:bottom w:val="none" w:sz="0" w:space="0" w:color="auto"/>
            <w:right w:val="none" w:sz="0" w:space="0" w:color="auto"/>
          </w:divBdr>
        </w:div>
        <w:div w:id="1793747147">
          <w:marLeft w:val="0"/>
          <w:marRight w:val="0"/>
          <w:marTop w:val="0"/>
          <w:marBottom w:val="0"/>
          <w:divBdr>
            <w:top w:val="none" w:sz="0" w:space="0" w:color="auto"/>
            <w:left w:val="none" w:sz="0" w:space="0" w:color="auto"/>
            <w:bottom w:val="none" w:sz="0" w:space="0" w:color="auto"/>
            <w:right w:val="none" w:sz="0" w:space="0" w:color="auto"/>
          </w:divBdr>
        </w:div>
        <w:div w:id="1276710860">
          <w:marLeft w:val="0"/>
          <w:marRight w:val="0"/>
          <w:marTop w:val="0"/>
          <w:marBottom w:val="0"/>
          <w:divBdr>
            <w:top w:val="none" w:sz="0" w:space="0" w:color="auto"/>
            <w:left w:val="none" w:sz="0" w:space="0" w:color="auto"/>
            <w:bottom w:val="none" w:sz="0" w:space="0" w:color="auto"/>
            <w:right w:val="none" w:sz="0" w:space="0" w:color="auto"/>
          </w:divBdr>
        </w:div>
        <w:div w:id="295645935">
          <w:marLeft w:val="0"/>
          <w:marRight w:val="0"/>
          <w:marTop w:val="0"/>
          <w:marBottom w:val="0"/>
          <w:divBdr>
            <w:top w:val="none" w:sz="0" w:space="0" w:color="auto"/>
            <w:left w:val="none" w:sz="0" w:space="0" w:color="auto"/>
            <w:bottom w:val="none" w:sz="0" w:space="0" w:color="auto"/>
            <w:right w:val="none" w:sz="0" w:space="0" w:color="auto"/>
          </w:divBdr>
        </w:div>
        <w:div w:id="352340454">
          <w:marLeft w:val="0"/>
          <w:marRight w:val="0"/>
          <w:marTop w:val="0"/>
          <w:marBottom w:val="0"/>
          <w:divBdr>
            <w:top w:val="none" w:sz="0" w:space="0" w:color="auto"/>
            <w:left w:val="none" w:sz="0" w:space="0" w:color="auto"/>
            <w:bottom w:val="none" w:sz="0" w:space="0" w:color="auto"/>
            <w:right w:val="none" w:sz="0" w:space="0" w:color="auto"/>
          </w:divBdr>
        </w:div>
        <w:div w:id="146897115">
          <w:marLeft w:val="0"/>
          <w:marRight w:val="0"/>
          <w:marTop w:val="0"/>
          <w:marBottom w:val="0"/>
          <w:divBdr>
            <w:top w:val="none" w:sz="0" w:space="0" w:color="auto"/>
            <w:left w:val="none" w:sz="0" w:space="0" w:color="auto"/>
            <w:bottom w:val="none" w:sz="0" w:space="0" w:color="auto"/>
            <w:right w:val="none" w:sz="0" w:space="0" w:color="auto"/>
          </w:divBdr>
        </w:div>
        <w:div w:id="180973529">
          <w:marLeft w:val="0"/>
          <w:marRight w:val="0"/>
          <w:marTop w:val="0"/>
          <w:marBottom w:val="0"/>
          <w:divBdr>
            <w:top w:val="none" w:sz="0" w:space="0" w:color="auto"/>
            <w:left w:val="none" w:sz="0" w:space="0" w:color="auto"/>
            <w:bottom w:val="none" w:sz="0" w:space="0" w:color="auto"/>
            <w:right w:val="none" w:sz="0" w:space="0" w:color="auto"/>
          </w:divBdr>
        </w:div>
        <w:div w:id="53311167">
          <w:marLeft w:val="0"/>
          <w:marRight w:val="0"/>
          <w:marTop w:val="0"/>
          <w:marBottom w:val="0"/>
          <w:divBdr>
            <w:top w:val="none" w:sz="0" w:space="0" w:color="auto"/>
            <w:left w:val="none" w:sz="0" w:space="0" w:color="auto"/>
            <w:bottom w:val="none" w:sz="0" w:space="0" w:color="auto"/>
            <w:right w:val="none" w:sz="0" w:space="0" w:color="auto"/>
          </w:divBdr>
        </w:div>
      </w:divsChild>
    </w:div>
    <w:div w:id="1408066851">
      <w:bodyDiv w:val="1"/>
      <w:marLeft w:val="0"/>
      <w:marRight w:val="0"/>
      <w:marTop w:val="0"/>
      <w:marBottom w:val="0"/>
      <w:divBdr>
        <w:top w:val="none" w:sz="0" w:space="0" w:color="auto"/>
        <w:left w:val="none" w:sz="0" w:space="0" w:color="auto"/>
        <w:bottom w:val="none" w:sz="0" w:space="0" w:color="auto"/>
        <w:right w:val="none" w:sz="0" w:space="0" w:color="auto"/>
      </w:divBdr>
      <w:divsChild>
        <w:div w:id="1899709626">
          <w:marLeft w:val="0"/>
          <w:marRight w:val="0"/>
          <w:marTop w:val="0"/>
          <w:marBottom w:val="0"/>
          <w:divBdr>
            <w:top w:val="none" w:sz="0" w:space="0" w:color="auto"/>
            <w:left w:val="none" w:sz="0" w:space="0" w:color="auto"/>
            <w:bottom w:val="none" w:sz="0" w:space="0" w:color="auto"/>
            <w:right w:val="none" w:sz="0" w:space="0" w:color="auto"/>
          </w:divBdr>
        </w:div>
        <w:div w:id="884952373">
          <w:marLeft w:val="0"/>
          <w:marRight w:val="0"/>
          <w:marTop w:val="0"/>
          <w:marBottom w:val="0"/>
          <w:divBdr>
            <w:top w:val="none" w:sz="0" w:space="0" w:color="auto"/>
            <w:left w:val="none" w:sz="0" w:space="0" w:color="auto"/>
            <w:bottom w:val="none" w:sz="0" w:space="0" w:color="auto"/>
            <w:right w:val="none" w:sz="0" w:space="0" w:color="auto"/>
          </w:divBdr>
        </w:div>
        <w:div w:id="184251086">
          <w:marLeft w:val="0"/>
          <w:marRight w:val="0"/>
          <w:marTop w:val="0"/>
          <w:marBottom w:val="0"/>
          <w:divBdr>
            <w:top w:val="none" w:sz="0" w:space="0" w:color="auto"/>
            <w:left w:val="none" w:sz="0" w:space="0" w:color="auto"/>
            <w:bottom w:val="none" w:sz="0" w:space="0" w:color="auto"/>
            <w:right w:val="none" w:sz="0" w:space="0" w:color="auto"/>
          </w:divBdr>
        </w:div>
        <w:div w:id="1924298542">
          <w:marLeft w:val="0"/>
          <w:marRight w:val="0"/>
          <w:marTop w:val="0"/>
          <w:marBottom w:val="0"/>
          <w:divBdr>
            <w:top w:val="none" w:sz="0" w:space="0" w:color="auto"/>
            <w:left w:val="none" w:sz="0" w:space="0" w:color="auto"/>
            <w:bottom w:val="none" w:sz="0" w:space="0" w:color="auto"/>
            <w:right w:val="none" w:sz="0" w:space="0" w:color="auto"/>
          </w:divBdr>
        </w:div>
        <w:div w:id="1988315907">
          <w:marLeft w:val="0"/>
          <w:marRight w:val="0"/>
          <w:marTop w:val="0"/>
          <w:marBottom w:val="0"/>
          <w:divBdr>
            <w:top w:val="none" w:sz="0" w:space="0" w:color="auto"/>
            <w:left w:val="none" w:sz="0" w:space="0" w:color="auto"/>
            <w:bottom w:val="none" w:sz="0" w:space="0" w:color="auto"/>
            <w:right w:val="none" w:sz="0" w:space="0" w:color="auto"/>
          </w:divBdr>
          <w:divsChild>
            <w:div w:id="1098913045">
              <w:marLeft w:val="0"/>
              <w:marRight w:val="0"/>
              <w:marTop w:val="0"/>
              <w:marBottom w:val="0"/>
              <w:divBdr>
                <w:top w:val="none" w:sz="0" w:space="0" w:color="auto"/>
                <w:left w:val="none" w:sz="0" w:space="0" w:color="auto"/>
                <w:bottom w:val="none" w:sz="0" w:space="0" w:color="auto"/>
                <w:right w:val="none" w:sz="0" w:space="0" w:color="auto"/>
              </w:divBdr>
            </w:div>
            <w:div w:id="1501431932">
              <w:marLeft w:val="0"/>
              <w:marRight w:val="0"/>
              <w:marTop w:val="0"/>
              <w:marBottom w:val="0"/>
              <w:divBdr>
                <w:top w:val="none" w:sz="0" w:space="0" w:color="auto"/>
                <w:left w:val="none" w:sz="0" w:space="0" w:color="auto"/>
                <w:bottom w:val="none" w:sz="0" w:space="0" w:color="auto"/>
                <w:right w:val="none" w:sz="0" w:space="0" w:color="auto"/>
              </w:divBdr>
            </w:div>
            <w:div w:id="381641095">
              <w:marLeft w:val="0"/>
              <w:marRight w:val="0"/>
              <w:marTop w:val="0"/>
              <w:marBottom w:val="0"/>
              <w:divBdr>
                <w:top w:val="none" w:sz="0" w:space="0" w:color="auto"/>
                <w:left w:val="none" w:sz="0" w:space="0" w:color="auto"/>
                <w:bottom w:val="none" w:sz="0" w:space="0" w:color="auto"/>
                <w:right w:val="none" w:sz="0" w:space="0" w:color="auto"/>
              </w:divBdr>
            </w:div>
            <w:div w:id="213271328">
              <w:marLeft w:val="0"/>
              <w:marRight w:val="0"/>
              <w:marTop w:val="0"/>
              <w:marBottom w:val="0"/>
              <w:divBdr>
                <w:top w:val="none" w:sz="0" w:space="0" w:color="auto"/>
                <w:left w:val="none" w:sz="0" w:space="0" w:color="auto"/>
                <w:bottom w:val="none" w:sz="0" w:space="0" w:color="auto"/>
                <w:right w:val="none" w:sz="0" w:space="0" w:color="auto"/>
              </w:divBdr>
            </w:div>
            <w:div w:id="1193149300">
              <w:marLeft w:val="0"/>
              <w:marRight w:val="0"/>
              <w:marTop w:val="0"/>
              <w:marBottom w:val="0"/>
              <w:divBdr>
                <w:top w:val="none" w:sz="0" w:space="0" w:color="auto"/>
                <w:left w:val="none" w:sz="0" w:space="0" w:color="auto"/>
                <w:bottom w:val="none" w:sz="0" w:space="0" w:color="auto"/>
                <w:right w:val="none" w:sz="0" w:space="0" w:color="auto"/>
              </w:divBdr>
            </w:div>
            <w:div w:id="264583815">
              <w:marLeft w:val="0"/>
              <w:marRight w:val="0"/>
              <w:marTop w:val="0"/>
              <w:marBottom w:val="0"/>
              <w:divBdr>
                <w:top w:val="none" w:sz="0" w:space="0" w:color="auto"/>
                <w:left w:val="none" w:sz="0" w:space="0" w:color="auto"/>
                <w:bottom w:val="none" w:sz="0" w:space="0" w:color="auto"/>
                <w:right w:val="none" w:sz="0" w:space="0" w:color="auto"/>
              </w:divBdr>
            </w:div>
            <w:div w:id="1626621682">
              <w:marLeft w:val="0"/>
              <w:marRight w:val="0"/>
              <w:marTop w:val="0"/>
              <w:marBottom w:val="0"/>
              <w:divBdr>
                <w:top w:val="none" w:sz="0" w:space="0" w:color="auto"/>
                <w:left w:val="none" w:sz="0" w:space="0" w:color="auto"/>
                <w:bottom w:val="none" w:sz="0" w:space="0" w:color="auto"/>
                <w:right w:val="none" w:sz="0" w:space="0" w:color="auto"/>
              </w:divBdr>
            </w:div>
            <w:div w:id="1253512035">
              <w:marLeft w:val="0"/>
              <w:marRight w:val="0"/>
              <w:marTop w:val="0"/>
              <w:marBottom w:val="0"/>
              <w:divBdr>
                <w:top w:val="none" w:sz="0" w:space="0" w:color="auto"/>
                <w:left w:val="none" w:sz="0" w:space="0" w:color="auto"/>
                <w:bottom w:val="none" w:sz="0" w:space="0" w:color="auto"/>
                <w:right w:val="none" w:sz="0" w:space="0" w:color="auto"/>
              </w:divBdr>
            </w:div>
            <w:div w:id="1172914773">
              <w:marLeft w:val="0"/>
              <w:marRight w:val="0"/>
              <w:marTop w:val="0"/>
              <w:marBottom w:val="0"/>
              <w:divBdr>
                <w:top w:val="none" w:sz="0" w:space="0" w:color="auto"/>
                <w:left w:val="none" w:sz="0" w:space="0" w:color="auto"/>
                <w:bottom w:val="none" w:sz="0" w:space="0" w:color="auto"/>
                <w:right w:val="none" w:sz="0" w:space="0" w:color="auto"/>
              </w:divBdr>
            </w:div>
            <w:div w:id="1382824584">
              <w:marLeft w:val="0"/>
              <w:marRight w:val="0"/>
              <w:marTop w:val="0"/>
              <w:marBottom w:val="0"/>
              <w:divBdr>
                <w:top w:val="none" w:sz="0" w:space="0" w:color="auto"/>
                <w:left w:val="none" w:sz="0" w:space="0" w:color="auto"/>
                <w:bottom w:val="none" w:sz="0" w:space="0" w:color="auto"/>
                <w:right w:val="none" w:sz="0" w:space="0" w:color="auto"/>
              </w:divBdr>
            </w:div>
            <w:div w:id="310139189">
              <w:marLeft w:val="0"/>
              <w:marRight w:val="0"/>
              <w:marTop w:val="0"/>
              <w:marBottom w:val="0"/>
              <w:divBdr>
                <w:top w:val="none" w:sz="0" w:space="0" w:color="auto"/>
                <w:left w:val="none" w:sz="0" w:space="0" w:color="auto"/>
                <w:bottom w:val="none" w:sz="0" w:space="0" w:color="auto"/>
                <w:right w:val="none" w:sz="0" w:space="0" w:color="auto"/>
              </w:divBdr>
              <w:divsChild>
                <w:div w:id="2095083371">
                  <w:marLeft w:val="0"/>
                  <w:marRight w:val="0"/>
                  <w:marTop w:val="0"/>
                  <w:marBottom w:val="0"/>
                  <w:divBdr>
                    <w:top w:val="none" w:sz="0" w:space="0" w:color="auto"/>
                    <w:left w:val="none" w:sz="0" w:space="0" w:color="auto"/>
                    <w:bottom w:val="none" w:sz="0" w:space="0" w:color="auto"/>
                    <w:right w:val="none" w:sz="0" w:space="0" w:color="auto"/>
                  </w:divBdr>
                </w:div>
              </w:divsChild>
            </w:div>
            <w:div w:id="1690720642">
              <w:marLeft w:val="0"/>
              <w:marRight w:val="0"/>
              <w:marTop w:val="0"/>
              <w:marBottom w:val="0"/>
              <w:divBdr>
                <w:top w:val="none" w:sz="0" w:space="0" w:color="auto"/>
                <w:left w:val="none" w:sz="0" w:space="0" w:color="auto"/>
                <w:bottom w:val="none" w:sz="0" w:space="0" w:color="auto"/>
                <w:right w:val="none" w:sz="0" w:space="0" w:color="auto"/>
              </w:divBdr>
            </w:div>
            <w:div w:id="370882228">
              <w:marLeft w:val="0"/>
              <w:marRight w:val="0"/>
              <w:marTop w:val="0"/>
              <w:marBottom w:val="0"/>
              <w:divBdr>
                <w:top w:val="none" w:sz="0" w:space="0" w:color="auto"/>
                <w:left w:val="none" w:sz="0" w:space="0" w:color="auto"/>
                <w:bottom w:val="none" w:sz="0" w:space="0" w:color="auto"/>
                <w:right w:val="none" w:sz="0" w:space="0" w:color="auto"/>
              </w:divBdr>
              <w:divsChild>
                <w:div w:id="1633049113">
                  <w:marLeft w:val="0"/>
                  <w:marRight w:val="0"/>
                  <w:marTop w:val="0"/>
                  <w:marBottom w:val="0"/>
                  <w:divBdr>
                    <w:top w:val="none" w:sz="0" w:space="0" w:color="auto"/>
                    <w:left w:val="none" w:sz="0" w:space="0" w:color="auto"/>
                    <w:bottom w:val="none" w:sz="0" w:space="0" w:color="auto"/>
                    <w:right w:val="none" w:sz="0" w:space="0" w:color="auto"/>
                  </w:divBdr>
                </w:div>
              </w:divsChild>
            </w:div>
            <w:div w:id="504588940">
              <w:marLeft w:val="0"/>
              <w:marRight w:val="0"/>
              <w:marTop w:val="0"/>
              <w:marBottom w:val="0"/>
              <w:divBdr>
                <w:top w:val="none" w:sz="0" w:space="0" w:color="auto"/>
                <w:left w:val="none" w:sz="0" w:space="0" w:color="auto"/>
                <w:bottom w:val="none" w:sz="0" w:space="0" w:color="auto"/>
                <w:right w:val="none" w:sz="0" w:space="0" w:color="auto"/>
              </w:divBdr>
            </w:div>
            <w:div w:id="45320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13</Pages>
  <Words>3671</Words>
  <Characters>21145</Characters>
  <Application>Microsoft Office Word</Application>
  <DocSecurity>0</DocSecurity>
  <Lines>341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Jeffrey Robert</dc:creator>
  <cp:keywords/>
  <dc:description/>
  <cp:lastModifiedBy>Wilson, Jeffrey Robert</cp:lastModifiedBy>
  <cp:revision>1</cp:revision>
  <cp:lastPrinted>2021-02-16T03:46:00Z</cp:lastPrinted>
  <dcterms:created xsi:type="dcterms:W3CDTF">2021-02-15T23:41:00Z</dcterms:created>
  <dcterms:modified xsi:type="dcterms:W3CDTF">2021-02-16T03:56:00Z</dcterms:modified>
</cp:coreProperties>
</file>